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FD8" w:rsidRPr="00A04BC2" w:rsidRDefault="00A04BC2" w:rsidP="00A04BC2">
      <w:pPr>
        <w:ind w:firstLine="709"/>
        <w:rPr>
          <w:b/>
          <w:sz w:val="28"/>
          <w:szCs w:val="28"/>
        </w:rPr>
      </w:pPr>
      <w:r>
        <w:rPr>
          <w:b/>
          <w:iCs/>
          <w:spacing w:val="-6"/>
          <w:sz w:val="28"/>
          <w:szCs w:val="28"/>
          <w:lang w:val="de-DE"/>
        </w:rPr>
        <w:t xml:space="preserve">Thủ tục </w:t>
      </w:r>
      <w:r>
        <w:rPr>
          <w:b/>
          <w:iCs/>
          <w:color w:val="000000" w:themeColor="text1"/>
          <w:spacing w:val="-6"/>
          <w:sz w:val="28"/>
          <w:szCs w:val="28"/>
          <w:lang w:val="sv-SE"/>
        </w:rPr>
        <w:t>gia hạn thời hạn hoạt động của dự án đầu tư</w:t>
      </w:r>
      <w:r>
        <w:rPr>
          <w:b/>
          <w:color w:val="000000" w:themeColor="text1"/>
          <w:spacing w:val="-6"/>
          <w:sz w:val="28"/>
          <w:szCs w:val="28"/>
          <w:lang w:val="sv-SE"/>
        </w:rPr>
        <w:t xml:space="preserve"> </w:t>
      </w:r>
      <w:r>
        <w:rPr>
          <w:b/>
          <w:iCs/>
          <w:spacing w:val="-6"/>
          <w:sz w:val="28"/>
          <w:szCs w:val="28"/>
        </w:rPr>
        <w:t>đối với dự án thuộc thẩm quyền chấp thuận chủ trương đầu tư của UBND cấp tỉnh</w:t>
      </w:r>
      <w:r w:rsidRPr="00C65BA0">
        <w:rPr>
          <w:b/>
          <w:color w:val="000000" w:themeColor="text1"/>
          <w:sz w:val="28"/>
          <w:szCs w:val="28"/>
        </w:rPr>
        <w:t xml:space="preserve"> </w:t>
      </w:r>
      <w:r w:rsidR="00906FD8" w:rsidRPr="00C65BA0">
        <w:rPr>
          <w:b/>
          <w:color w:val="000000" w:themeColor="text1"/>
          <w:sz w:val="28"/>
          <w:szCs w:val="28"/>
        </w:rPr>
        <w:t xml:space="preserve">(mã TTHC: </w:t>
      </w:r>
      <w:r w:rsidR="00C65BA0" w:rsidRPr="00C65BA0">
        <w:rPr>
          <w:b/>
          <w:color w:val="000000"/>
          <w:sz w:val="28"/>
          <w:szCs w:val="28"/>
          <w:shd w:val="clear" w:color="auto" w:fill="FFFFFF"/>
        </w:rPr>
        <w:t>1.009659</w:t>
      </w:r>
      <w:r w:rsidR="00906FD8" w:rsidRPr="00C65BA0">
        <w:rPr>
          <w:rStyle w:val="fontstyle01"/>
          <w:b/>
          <w:color w:val="000000" w:themeColor="text1"/>
        </w:rPr>
        <w:t>)</w:t>
      </w:r>
    </w:p>
    <w:p w:rsidR="004850DE" w:rsidRDefault="004850DE" w:rsidP="004850DE">
      <w:pPr>
        <w:widowControl w:val="0"/>
        <w:spacing w:before="60" w:line="360" w:lineRule="exact"/>
        <w:ind w:firstLine="709"/>
        <w:rPr>
          <w:b/>
          <w:sz w:val="28"/>
          <w:szCs w:val="28"/>
        </w:rPr>
      </w:pPr>
      <w:r>
        <w:rPr>
          <w:b/>
          <w:sz w:val="28"/>
          <w:szCs w:val="28"/>
        </w:rPr>
        <w:t>a) Trình tự thực hiện:</w:t>
      </w:r>
    </w:p>
    <w:p w:rsidR="004850DE" w:rsidRDefault="004850DE" w:rsidP="004850DE">
      <w:pPr>
        <w:widowControl w:val="0"/>
        <w:spacing w:before="60" w:line="360" w:lineRule="exact"/>
        <w:ind w:firstLine="709"/>
        <w:rPr>
          <w:sz w:val="28"/>
          <w:szCs w:val="28"/>
        </w:rPr>
      </w:pPr>
      <w:r>
        <w:rPr>
          <w:sz w:val="28"/>
          <w:szCs w:val="28"/>
        </w:rPr>
        <w:t>- Bước 1: Nhà đầu tư nộp hồ sơ theo quy định tại điểm a khoản 2 Điều 55 Nghị định số 31/2021/NĐ-CP cho Sở Kế hoạch và Đầu tư.</w:t>
      </w:r>
    </w:p>
    <w:p w:rsidR="004850DE" w:rsidRDefault="004850DE" w:rsidP="004850DE">
      <w:pPr>
        <w:widowControl w:val="0"/>
        <w:spacing w:before="60" w:line="360" w:lineRule="exact"/>
        <w:ind w:firstLine="709"/>
        <w:rPr>
          <w:sz w:val="28"/>
          <w:szCs w:val="28"/>
        </w:rPr>
      </w:pPr>
      <w:r>
        <w:rPr>
          <w:sz w:val="28"/>
          <w:szCs w:val="28"/>
        </w:rPr>
        <w:t>- Bước 2: Sở Tài chínhgửi hồ sơ cho cơ quan quản lý đất đai và các cơ quan có liên quan để lấy ý kiến về việc đáp ứng điều kiện quy định tại khoản 4 Điều 44 của Luật Đầu tư và khoản 4 Điều 27 của Nghị định số 31/2021/NĐ-CP;</w:t>
      </w:r>
    </w:p>
    <w:p w:rsidR="004850DE" w:rsidRDefault="004850DE" w:rsidP="004850DE">
      <w:pPr>
        <w:spacing w:after="120" w:line="340" w:lineRule="exact"/>
        <w:ind w:firstLine="709"/>
        <w:rPr>
          <w:sz w:val="28"/>
          <w:szCs w:val="28"/>
        </w:rPr>
      </w:pPr>
      <w:r>
        <w:rPr>
          <w:sz w:val="28"/>
          <w:szCs w:val="28"/>
        </w:rPr>
        <w:t xml:space="preserve">- Bước 3: Cơ quan được lấy ý kiến có ý kiến về việc đáp ứng điều kiện quy định tại khoản 4 Điều 44 Luật Đầu tư và khoản 4 Điều 27 Nghị định số 31/2021/NĐ-CP; </w:t>
      </w:r>
    </w:p>
    <w:p w:rsidR="004850DE" w:rsidRDefault="004850DE" w:rsidP="004850DE">
      <w:pPr>
        <w:spacing w:after="120" w:line="340" w:lineRule="exact"/>
        <w:ind w:firstLine="709"/>
        <w:rPr>
          <w:spacing w:val="-6"/>
          <w:sz w:val="28"/>
          <w:szCs w:val="28"/>
        </w:rPr>
      </w:pPr>
      <w:r>
        <w:rPr>
          <w:spacing w:val="-6"/>
          <w:sz w:val="28"/>
          <w:szCs w:val="28"/>
        </w:rPr>
        <w:t xml:space="preserve">- Bước 4: </w:t>
      </w:r>
      <w:r>
        <w:rPr>
          <w:sz w:val="28"/>
          <w:szCs w:val="28"/>
        </w:rPr>
        <w:t>Sở Tài chính</w:t>
      </w:r>
      <w:r>
        <w:rPr>
          <w:spacing w:val="-6"/>
          <w:sz w:val="28"/>
          <w:szCs w:val="28"/>
        </w:rPr>
        <w:t xml:space="preserve">xem xét điều kiện gia hạn thời hạn hoạt động của dự án đầu tư quy định tại khoản 4 Điều 44 của Luật Đầu tư và khoản 4 Điều 27 của Nghị định số 31/2021/NĐ-CP để lập báo cáo thẩm định trình Ủy ban nhân dân cấp tỉnh. </w:t>
      </w:r>
    </w:p>
    <w:p w:rsidR="004850DE" w:rsidRDefault="004850DE" w:rsidP="004850DE">
      <w:pPr>
        <w:spacing w:after="120" w:line="340" w:lineRule="exact"/>
        <w:ind w:firstLine="709"/>
        <w:rPr>
          <w:sz w:val="28"/>
          <w:szCs w:val="28"/>
        </w:rPr>
      </w:pPr>
      <w:r>
        <w:rPr>
          <w:sz w:val="28"/>
          <w:szCs w:val="28"/>
        </w:rPr>
        <w:t xml:space="preserve">- Bước 5: Ủy ban nhân dân cấp tỉnh quyết định gia hạn thời hạn hoạt động của dự án đầu tư </w:t>
      </w:r>
    </w:p>
    <w:p w:rsidR="004850DE" w:rsidRDefault="004850DE" w:rsidP="004850DE">
      <w:pPr>
        <w:widowControl w:val="0"/>
        <w:spacing w:before="60" w:line="360" w:lineRule="exact"/>
        <w:ind w:firstLine="709"/>
        <w:rPr>
          <w:b/>
          <w:sz w:val="28"/>
          <w:szCs w:val="28"/>
        </w:rPr>
      </w:pPr>
      <w:r>
        <w:rPr>
          <w:b/>
          <w:sz w:val="28"/>
          <w:szCs w:val="28"/>
        </w:rPr>
        <w:t>b) Cách thức thực hiện:</w:t>
      </w:r>
    </w:p>
    <w:p w:rsidR="004850DE" w:rsidRDefault="004850DE" w:rsidP="004850DE">
      <w:pPr>
        <w:widowControl w:val="0"/>
        <w:spacing w:after="120" w:line="360" w:lineRule="exact"/>
        <w:rPr>
          <w:color w:val="000000" w:themeColor="text1"/>
          <w:sz w:val="28"/>
          <w:szCs w:val="28"/>
        </w:rPr>
      </w:pPr>
      <w:r>
        <w:rPr>
          <w:color w:val="000000" w:themeColor="text1"/>
          <w:sz w:val="28"/>
          <w:szCs w:val="28"/>
        </w:rPr>
        <w:t>- Trực tiếp tại trụ sở cơ quan hành chính.</w:t>
      </w:r>
    </w:p>
    <w:p w:rsidR="004850DE" w:rsidRDefault="004850DE" w:rsidP="004850DE">
      <w:pPr>
        <w:widowControl w:val="0"/>
        <w:spacing w:after="120" w:line="360" w:lineRule="exact"/>
        <w:rPr>
          <w:color w:val="000000" w:themeColor="text1"/>
          <w:sz w:val="28"/>
          <w:szCs w:val="28"/>
          <w:lang w:val="es-ES"/>
        </w:rPr>
      </w:pPr>
      <w:r>
        <w:rPr>
          <w:color w:val="000000" w:themeColor="text1"/>
          <w:sz w:val="28"/>
          <w:szCs w:val="28"/>
        </w:rPr>
        <w:t xml:space="preserve">- Qua dịch vụ bưu chính công ích. </w:t>
      </w:r>
    </w:p>
    <w:p w:rsidR="004850DE" w:rsidRDefault="004850DE" w:rsidP="004850DE">
      <w:pPr>
        <w:widowControl w:val="0"/>
        <w:spacing w:before="60" w:line="360" w:lineRule="exact"/>
        <w:ind w:firstLine="709"/>
        <w:rPr>
          <w:sz w:val="28"/>
          <w:szCs w:val="28"/>
          <w:lang w:val="es-ES"/>
        </w:rPr>
      </w:pPr>
      <w:r>
        <w:rPr>
          <w:b/>
          <w:sz w:val="28"/>
          <w:szCs w:val="28"/>
          <w:lang w:val="es-ES"/>
        </w:rPr>
        <w:t>c) Thành phần hồ sơ</w:t>
      </w:r>
      <w:r>
        <w:rPr>
          <w:sz w:val="28"/>
          <w:szCs w:val="28"/>
          <w:lang w:val="es-ES"/>
        </w:rPr>
        <w:t>:</w:t>
      </w:r>
    </w:p>
    <w:p w:rsidR="004850DE" w:rsidRDefault="004850DE" w:rsidP="004850DE">
      <w:pPr>
        <w:spacing w:after="120" w:line="340" w:lineRule="exact"/>
        <w:ind w:firstLine="709"/>
        <w:rPr>
          <w:color w:val="000000" w:themeColor="text1"/>
          <w:sz w:val="28"/>
          <w:szCs w:val="28"/>
          <w:lang w:val="sv-SE"/>
        </w:rPr>
      </w:pPr>
      <w:r>
        <w:rPr>
          <w:color w:val="000000" w:themeColor="text1"/>
          <w:sz w:val="28"/>
          <w:szCs w:val="28"/>
          <w:lang w:val="sv-SE"/>
        </w:rPr>
        <w:t xml:space="preserve">- Văn bản đề nghị gia hạn thời hạn hoạt động của dự án đầu tư; </w:t>
      </w:r>
    </w:p>
    <w:p w:rsidR="004850DE" w:rsidRDefault="004850DE" w:rsidP="004850DE">
      <w:pPr>
        <w:spacing w:after="120" w:line="340" w:lineRule="exact"/>
        <w:ind w:firstLine="709"/>
        <w:rPr>
          <w:color w:val="000000" w:themeColor="text1"/>
          <w:sz w:val="28"/>
          <w:szCs w:val="28"/>
          <w:lang w:val="sv-SE"/>
        </w:rPr>
      </w:pPr>
      <w:r>
        <w:rPr>
          <w:color w:val="000000" w:themeColor="text1"/>
          <w:sz w:val="28"/>
          <w:szCs w:val="28"/>
          <w:lang w:val="sv-SE"/>
        </w:rPr>
        <w:t xml:space="preserve">- Quyết định chấp thuận chủ trương đầu tư; </w:t>
      </w:r>
    </w:p>
    <w:p w:rsidR="004850DE" w:rsidRDefault="004850DE" w:rsidP="004850DE">
      <w:pPr>
        <w:spacing w:after="120" w:line="340" w:lineRule="exact"/>
        <w:ind w:firstLine="709"/>
        <w:rPr>
          <w:color w:val="000000" w:themeColor="text1"/>
          <w:sz w:val="28"/>
          <w:szCs w:val="28"/>
          <w:lang w:val="sv-SE"/>
        </w:rPr>
      </w:pPr>
      <w:r>
        <w:rPr>
          <w:color w:val="000000" w:themeColor="text1"/>
          <w:sz w:val="28"/>
          <w:szCs w:val="28"/>
          <w:lang w:val="sv-SE"/>
        </w:rPr>
        <w:t xml:space="preserve">- Giấy chứng nhận đăng ký đầu tư; </w:t>
      </w:r>
    </w:p>
    <w:p w:rsidR="004850DE" w:rsidRDefault="004850DE" w:rsidP="004850DE">
      <w:pPr>
        <w:spacing w:after="120" w:line="340" w:lineRule="exact"/>
        <w:ind w:firstLine="709"/>
        <w:rPr>
          <w:color w:val="000000" w:themeColor="text1"/>
          <w:spacing w:val="6"/>
          <w:sz w:val="28"/>
          <w:szCs w:val="28"/>
          <w:lang w:val="sv-SE"/>
        </w:rPr>
      </w:pPr>
      <w:r>
        <w:rPr>
          <w:color w:val="000000" w:themeColor="text1"/>
          <w:spacing w:val="6"/>
          <w:sz w:val="28"/>
          <w:szCs w:val="28"/>
          <w:lang w:val="sv-SE"/>
        </w:rPr>
        <w:t xml:space="preserve">- Quyết định chấp thuận nhà đầu tư hoặc giấy tờ có giá trị pháp lý tương đương; </w:t>
      </w:r>
    </w:p>
    <w:p w:rsidR="004850DE" w:rsidRDefault="004850DE" w:rsidP="004850DE">
      <w:pPr>
        <w:spacing w:after="120" w:line="340" w:lineRule="exact"/>
        <w:ind w:firstLine="709"/>
        <w:rPr>
          <w:color w:val="000000" w:themeColor="text1"/>
          <w:spacing w:val="6"/>
          <w:sz w:val="28"/>
          <w:szCs w:val="28"/>
          <w:lang w:val="sv-SE"/>
        </w:rPr>
      </w:pPr>
      <w:r>
        <w:rPr>
          <w:color w:val="000000" w:themeColor="text1"/>
          <w:spacing w:val="6"/>
          <w:sz w:val="28"/>
          <w:szCs w:val="28"/>
          <w:lang w:val="sv-SE"/>
        </w:rPr>
        <w:t xml:space="preserve">- Giấy chứng nhận quyền sử dụng đất hoặc giấy tờ có giá trị pháp lý tương đương; </w:t>
      </w:r>
    </w:p>
    <w:p w:rsidR="004850DE" w:rsidRDefault="004850DE" w:rsidP="004850DE">
      <w:pPr>
        <w:spacing w:after="120" w:line="340" w:lineRule="exact"/>
        <w:ind w:firstLine="709"/>
        <w:rPr>
          <w:color w:val="000000" w:themeColor="text1"/>
          <w:sz w:val="28"/>
          <w:szCs w:val="28"/>
          <w:lang w:val="sv-SE"/>
        </w:rPr>
      </w:pPr>
      <w:r>
        <w:rPr>
          <w:color w:val="000000" w:themeColor="text1"/>
          <w:sz w:val="28"/>
          <w:szCs w:val="28"/>
          <w:lang w:val="sv-SE"/>
        </w:rPr>
        <w:t>- Tài liệu chứng minh năng lực tài chính của nhà đầu tư gồm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4850DE" w:rsidRDefault="004850DE" w:rsidP="004850DE">
      <w:pPr>
        <w:widowControl w:val="0"/>
        <w:spacing w:before="60" w:line="360" w:lineRule="exact"/>
        <w:ind w:firstLine="709"/>
        <w:rPr>
          <w:sz w:val="28"/>
          <w:szCs w:val="28"/>
        </w:rPr>
      </w:pPr>
      <w:r>
        <w:rPr>
          <w:b/>
          <w:sz w:val="28"/>
          <w:szCs w:val="28"/>
          <w:lang w:val="de-DE"/>
        </w:rPr>
        <w:lastRenderedPageBreak/>
        <w:t>d) Số lượng hồ sơ</w:t>
      </w:r>
      <w:r>
        <w:rPr>
          <w:sz w:val="28"/>
          <w:szCs w:val="28"/>
          <w:lang w:val="de-DE"/>
        </w:rPr>
        <w:t xml:space="preserve">: </w:t>
      </w:r>
      <w:r>
        <w:rPr>
          <w:sz w:val="28"/>
          <w:szCs w:val="28"/>
        </w:rPr>
        <w:t xml:space="preserve">04 bộ hồ sơ. </w:t>
      </w:r>
    </w:p>
    <w:p w:rsidR="004850DE" w:rsidRDefault="004850DE" w:rsidP="004850DE">
      <w:pPr>
        <w:widowControl w:val="0"/>
        <w:overflowPunct w:val="0"/>
        <w:autoSpaceDE w:val="0"/>
        <w:autoSpaceDN w:val="0"/>
        <w:adjustRightInd w:val="0"/>
        <w:spacing w:before="60" w:line="360" w:lineRule="exact"/>
        <w:ind w:firstLine="709"/>
        <w:rPr>
          <w:sz w:val="28"/>
          <w:szCs w:val="28"/>
          <w:lang w:val="de-DE"/>
        </w:rPr>
      </w:pPr>
      <w:r>
        <w:rPr>
          <w:b/>
          <w:sz w:val="28"/>
          <w:szCs w:val="28"/>
          <w:lang w:val="de-DE"/>
        </w:rPr>
        <w:t>đ) Thời hạn giải quyết</w:t>
      </w:r>
      <w:r>
        <w:rPr>
          <w:sz w:val="28"/>
          <w:szCs w:val="28"/>
          <w:lang w:val="de-DE"/>
        </w:rPr>
        <w:t xml:space="preserve">: </w:t>
      </w:r>
    </w:p>
    <w:p w:rsidR="004850DE" w:rsidRDefault="004850DE" w:rsidP="004850DE">
      <w:pPr>
        <w:spacing w:after="120" w:line="340" w:lineRule="exact"/>
        <w:ind w:firstLine="709"/>
        <w:rPr>
          <w:color w:val="000000" w:themeColor="text1"/>
          <w:sz w:val="28"/>
          <w:szCs w:val="28"/>
          <w:lang w:val="sv-SE"/>
        </w:rPr>
      </w:pPr>
      <w:r>
        <w:rPr>
          <w:color w:val="000000" w:themeColor="text1"/>
          <w:sz w:val="28"/>
          <w:szCs w:val="28"/>
          <w:lang w:val="sv-SE"/>
        </w:rPr>
        <w:t>- Trong thời hạn 03 ngày làm việc kể từ ngày nhận được hồ sơ hợp lệ, Sở Tài chínhgửi hồ sơ cho cơ quan quản lý đất đai và các cơ quan có liên quan để lấy ý kiến về việc đáp ứng điều kiện quy định tại khoản 4 Điều 44 của Luật Đầu tư và khoản 4 Điều 27 của Nghị định số 31/2021/NĐ-CP;</w:t>
      </w:r>
    </w:p>
    <w:p w:rsidR="004850DE" w:rsidRDefault="004850DE" w:rsidP="004850DE">
      <w:pPr>
        <w:spacing w:after="120" w:line="340" w:lineRule="exact"/>
        <w:ind w:firstLine="709"/>
        <w:rPr>
          <w:color w:val="000000" w:themeColor="text1"/>
          <w:sz w:val="28"/>
          <w:szCs w:val="28"/>
          <w:lang w:val="sv-SE"/>
        </w:rPr>
      </w:pPr>
      <w:r>
        <w:rPr>
          <w:color w:val="000000" w:themeColor="text1"/>
          <w:sz w:val="28"/>
          <w:szCs w:val="28"/>
          <w:lang w:val="sv-SE"/>
        </w:rPr>
        <w:t xml:space="preserve">- Trong thời hạn 10 ngày kể từ ngày nhận được hồ sơ hợp lệ, cơ quan được lấy ý kiến có ý kiến về việc đáp ứng điều kiện quy định tại khoản 4 Điều 44 Luật Đầu tư và khoản 4 Điều 27 Nghị định số 31/2021/NĐ-CP; </w:t>
      </w:r>
    </w:p>
    <w:p w:rsidR="004850DE" w:rsidRDefault="004850DE" w:rsidP="004850DE">
      <w:pPr>
        <w:spacing w:after="120" w:line="340" w:lineRule="exact"/>
        <w:ind w:firstLine="709"/>
        <w:rPr>
          <w:rFonts w:eastAsiaTheme="minorHAnsi"/>
          <w:color w:val="000000" w:themeColor="text1"/>
          <w:sz w:val="28"/>
          <w:szCs w:val="28"/>
          <w:lang w:val="sv-SE"/>
        </w:rPr>
      </w:pPr>
      <w:r>
        <w:rPr>
          <w:color w:val="000000" w:themeColor="text1"/>
          <w:sz w:val="28"/>
          <w:szCs w:val="28"/>
          <w:lang w:val="sv-SE"/>
        </w:rPr>
        <w:t xml:space="preserve">- Trong thời hạn 15 ngày kể từ ngày nhận được hồ sơ hợp lệ, Sở Tài chínhxem xét điều kiện gia hạn thời hạn hoạt động của dự án đầu tư quy định tại khoản 4 Điều 44 của Luật Đầu tư và khoản 4 Điều 27 của Nghị định số 31/2021/NĐ-CP để lập báo cáo thẩm định trình </w:t>
      </w:r>
      <w:r>
        <w:rPr>
          <w:rFonts w:eastAsiaTheme="minorHAnsi"/>
          <w:color w:val="000000" w:themeColor="text1"/>
          <w:sz w:val="28"/>
          <w:szCs w:val="28"/>
          <w:lang w:val="sv-SE"/>
        </w:rPr>
        <w:t xml:space="preserve">Ủy ban nhân dân cấp tỉnh. </w:t>
      </w:r>
    </w:p>
    <w:p w:rsidR="004850DE" w:rsidRDefault="004850DE" w:rsidP="004850DE">
      <w:pPr>
        <w:spacing w:after="120" w:line="340" w:lineRule="exact"/>
        <w:ind w:firstLine="709"/>
        <w:rPr>
          <w:color w:val="000000" w:themeColor="text1"/>
          <w:sz w:val="28"/>
          <w:szCs w:val="28"/>
          <w:lang w:val="sv-SE"/>
        </w:rPr>
      </w:pPr>
      <w:r>
        <w:rPr>
          <w:color w:val="000000" w:themeColor="text1"/>
          <w:sz w:val="28"/>
          <w:szCs w:val="28"/>
          <w:lang w:val="sv-SE"/>
        </w:rPr>
        <w:t xml:space="preserve">- Trong thời hạn 03 ngày làm việc kể từ ngày nhận được báo cáo của Sở Kế hoạch và Đầu tư, </w:t>
      </w:r>
      <w:r>
        <w:rPr>
          <w:rFonts w:eastAsiaTheme="minorHAnsi"/>
          <w:color w:val="000000" w:themeColor="text1"/>
          <w:sz w:val="28"/>
          <w:szCs w:val="28"/>
          <w:lang w:val="sv-SE"/>
        </w:rPr>
        <w:t xml:space="preserve">Ủy ban nhân dân cấp tỉnh </w:t>
      </w:r>
      <w:r>
        <w:rPr>
          <w:color w:val="000000" w:themeColor="text1"/>
          <w:sz w:val="28"/>
          <w:szCs w:val="28"/>
          <w:lang w:val="sv-SE"/>
        </w:rPr>
        <w:t xml:space="preserve">quyết định gia hạn thời hạn hoạt động của dự án đầu tư. </w:t>
      </w:r>
    </w:p>
    <w:p w:rsidR="004850DE" w:rsidRDefault="004850DE" w:rsidP="004850DE">
      <w:pPr>
        <w:widowControl w:val="0"/>
        <w:spacing w:before="60" w:line="360" w:lineRule="exact"/>
        <w:ind w:firstLine="709"/>
        <w:rPr>
          <w:sz w:val="28"/>
          <w:szCs w:val="28"/>
          <w:lang w:val="de-DE"/>
        </w:rPr>
      </w:pPr>
      <w:r>
        <w:rPr>
          <w:b/>
          <w:sz w:val="28"/>
          <w:szCs w:val="28"/>
          <w:lang w:val="de-DE"/>
        </w:rPr>
        <w:t>e) Cơ quan thực hiện</w:t>
      </w:r>
      <w:r>
        <w:rPr>
          <w:sz w:val="28"/>
          <w:szCs w:val="28"/>
          <w:lang w:val="de-DE"/>
        </w:rPr>
        <w:t>:</w:t>
      </w:r>
    </w:p>
    <w:p w:rsidR="004850DE" w:rsidRDefault="004850DE" w:rsidP="004850DE">
      <w:pPr>
        <w:widowControl w:val="0"/>
        <w:shd w:val="clear" w:color="auto" w:fill="FFFFFF"/>
        <w:spacing w:before="60" w:line="360" w:lineRule="exact"/>
        <w:ind w:firstLine="709"/>
        <w:rPr>
          <w:color w:val="000000"/>
          <w:sz w:val="28"/>
          <w:szCs w:val="28"/>
        </w:rPr>
      </w:pPr>
      <w:r>
        <w:rPr>
          <w:color w:val="000000"/>
          <w:sz w:val="28"/>
          <w:szCs w:val="28"/>
        </w:rPr>
        <w:t xml:space="preserve">- Sở Tài chínhtiếp nhận hồ sơ trình </w:t>
      </w:r>
      <w:r>
        <w:rPr>
          <w:rFonts w:eastAsiaTheme="minorHAnsi"/>
          <w:color w:val="000000" w:themeColor="text1"/>
          <w:sz w:val="28"/>
          <w:szCs w:val="28"/>
          <w:lang w:val="sv-SE"/>
        </w:rPr>
        <w:t>Ủy ban nhân dân cấp tỉnh</w:t>
      </w:r>
      <w:r>
        <w:rPr>
          <w:color w:val="000000"/>
          <w:sz w:val="28"/>
          <w:szCs w:val="28"/>
        </w:rPr>
        <w:t>.</w:t>
      </w:r>
    </w:p>
    <w:p w:rsidR="004850DE" w:rsidRDefault="004850DE" w:rsidP="004850DE">
      <w:pPr>
        <w:widowControl w:val="0"/>
        <w:shd w:val="clear" w:color="auto" w:fill="FFFFFF"/>
        <w:spacing w:before="60" w:line="360" w:lineRule="exact"/>
        <w:ind w:firstLine="709"/>
        <w:rPr>
          <w:color w:val="000000"/>
          <w:sz w:val="28"/>
          <w:szCs w:val="28"/>
        </w:rPr>
      </w:pPr>
      <w:r>
        <w:rPr>
          <w:color w:val="000000"/>
          <w:sz w:val="28"/>
          <w:szCs w:val="28"/>
        </w:rPr>
        <w:t xml:space="preserve">- </w:t>
      </w:r>
      <w:r>
        <w:rPr>
          <w:rFonts w:eastAsiaTheme="minorHAnsi"/>
          <w:color w:val="000000" w:themeColor="text1"/>
          <w:sz w:val="28"/>
          <w:szCs w:val="28"/>
          <w:lang w:val="sv-SE"/>
        </w:rPr>
        <w:t>Ủy ban nhân dân cấp tỉnh</w:t>
      </w:r>
      <w:r>
        <w:rPr>
          <w:color w:val="000000"/>
          <w:sz w:val="28"/>
          <w:szCs w:val="28"/>
        </w:rPr>
        <w:t xml:space="preserve"> quyết định gia hạn thời hạn hoạt động của dự án đầu tư đầu tư.</w:t>
      </w:r>
    </w:p>
    <w:p w:rsidR="004850DE" w:rsidRDefault="004850DE" w:rsidP="004850DE">
      <w:pPr>
        <w:widowControl w:val="0"/>
        <w:spacing w:before="60" w:line="360" w:lineRule="exact"/>
        <w:ind w:firstLine="709"/>
        <w:rPr>
          <w:sz w:val="28"/>
          <w:szCs w:val="28"/>
          <w:lang w:val="de-DE"/>
        </w:rPr>
      </w:pPr>
      <w:r>
        <w:rPr>
          <w:b/>
          <w:sz w:val="28"/>
          <w:szCs w:val="28"/>
          <w:lang w:val="de-DE"/>
        </w:rPr>
        <w:t>g) Đối tượng thực hiện thủ tục hành chính</w:t>
      </w:r>
      <w:r>
        <w:rPr>
          <w:sz w:val="28"/>
          <w:szCs w:val="28"/>
          <w:lang w:val="de-DE"/>
        </w:rPr>
        <w:t>:</w:t>
      </w:r>
    </w:p>
    <w:p w:rsidR="004850DE" w:rsidRDefault="004850DE" w:rsidP="004850DE">
      <w:pPr>
        <w:widowControl w:val="0"/>
        <w:spacing w:before="60" w:line="360" w:lineRule="exact"/>
        <w:ind w:firstLine="709"/>
        <w:rPr>
          <w:sz w:val="28"/>
          <w:szCs w:val="28"/>
          <w:lang w:val="de-DE"/>
        </w:rPr>
      </w:pPr>
      <w:r>
        <w:rPr>
          <w:sz w:val="28"/>
          <w:szCs w:val="28"/>
          <w:lang w:val="de-DE"/>
        </w:rPr>
        <w:t>- Nhà đầu tư;</w:t>
      </w:r>
    </w:p>
    <w:p w:rsidR="004850DE" w:rsidRDefault="004850DE" w:rsidP="004850DE">
      <w:pPr>
        <w:widowControl w:val="0"/>
        <w:spacing w:before="60" w:line="360" w:lineRule="exact"/>
        <w:ind w:firstLine="709"/>
        <w:rPr>
          <w:sz w:val="28"/>
          <w:szCs w:val="28"/>
          <w:lang w:val="de-DE"/>
        </w:rPr>
      </w:pPr>
      <w:r>
        <w:rPr>
          <w:b/>
          <w:sz w:val="28"/>
          <w:szCs w:val="28"/>
          <w:lang w:val="de-DE"/>
        </w:rPr>
        <w:t>h) Kết quả thực hiện thủ tục hành chính</w:t>
      </w:r>
      <w:r>
        <w:rPr>
          <w:sz w:val="28"/>
          <w:szCs w:val="28"/>
          <w:lang w:val="de-DE"/>
        </w:rPr>
        <w:t>:</w:t>
      </w:r>
    </w:p>
    <w:p w:rsidR="004850DE" w:rsidRDefault="004850DE" w:rsidP="004850DE">
      <w:pPr>
        <w:spacing w:after="120" w:line="340" w:lineRule="exact"/>
        <w:ind w:firstLine="709"/>
        <w:rPr>
          <w:color w:val="000000" w:themeColor="text1"/>
          <w:sz w:val="28"/>
          <w:szCs w:val="28"/>
          <w:lang w:val="sv-SE"/>
        </w:rPr>
      </w:pPr>
      <w:r>
        <w:rPr>
          <w:color w:val="000000" w:themeColor="text1"/>
          <w:sz w:val="28"/>
          <w:szCs w:val="28"/>
          <w:lang w:val="sv-SE"/>
        </w:rPr>
        <w:t>Văn bản chấp thuận gia hạn thời hạn hoạt động của dự án đầu tư của Ủy ban nhân cấp tỉnh (đối với dự án thuộc thẩm quyền chấp thuận chủ trương đầu tư của Ủy ban nhân dân cấp tỉnh) hoặc văn bản chấp thuận gia hạn thời hạn hoạt động của dự án đầu tư của Sở Tài chính(đối với dự án thuộc diện cấp Giấy chứng nhận đăng ký đầu tư và không thuộc diện chấp thuận chủ trương đầu tư của Ủy ban nhân dân cấp tỉnh).</w:t>
      </w:r>
    </w:p>
    <w:p w:rsidR="004850DE" w:rsidRDefault="004850DE" w:rsidP="004850DE">
      <w:pPr>
        <w:widowControl w:val="0"/>
        <w:spacing w:before="60" w:line="360" w:lineRule="exact"/>
        <w:ind w:firstLine="709"/>
        <w:rPr>
          <w:sz w:val="28"/>
          <w:szCs w:val="28"/>
          <w:lang w:val="de-DE"/>
        </w:rPr>
      </w:pPr>
      <w:r>
        <w:rPr>
          <w:b/>
          <w:sz w:val="28"/>
          <w:szCs w:val="28"/>
          <w:lang w:val="de-DE"/>
        </w:rPr>
        <w:t>i) Lệ phí</w:t>
      </w:r>
      <w:r>
        <w:rPr>
          <w:sz w:val="28"/>
          <w:szCs w:val="28"/>
          <w:lang w:val="de-DE"/>
        </w:rPr>
        <w:t>: Không</w:t>
      </w:r>
    </w:p>
    <w:p w:rsidR="004850DE" w:rsidRDefault="004850DE" w:rsidP="004850DE">
      <w:pPr>
        <w:widowControl w:val="0"/>
        <w:spacing w:before="60" w:line="360" w:lineRule="exact"/>
        <w:ind w:firstLine="709"/>
        <w:rPr>
          <w:bCs/>
          <w:i/>
          <w:color w:val="000000"/>
          <w:sz w:val="28"/>
          <w:szCs w:val="28"/>
          <w:lang w:val="de-DE"/>
        </w:rPr>
      </w:pPr>
      <w:r>
        <w:rPr>
          <w:b/>
          <w:sz w:val="28"/>
          <w:szCs w:val="28"/>
          <w:lang w:val="de-DE"/>
        </w:rPr>
        <w:t>k) Tên mẫu đơn, mẫu tờ khai:</w:t>
      </w:r>
    </w:p>
    <w:p w:rsidR="004850DE" w:rsidRDefault="004850DE" w:rsidP="004850DE">
      <w:pPr>
        <w:spacing w:beforeLines="40" w:before="96" w:afterLines="40" w:after="96"/>
        <w:ind w:firstLine="709"/>
        <w:rPr>
          <w:sz w:val="28"/>
          <w:szCs w:val="28"/>
          <w:lang w:val="nb-NO"/>
        </w:rPr>
      </w:pPr>
      <w:r>
        <w:rPr>
          <w:sz w:val="28"/>
          <w:szCs w:val="28"/>
          <w:lang w:val="vi-VN"/>
        </w:rPr>
        <w:t>Vă</w:t>
      </w:r>
      <w:r>
        <w:rPr>
          <w:sz w:val="28"/>
          <w:szCs w:val="28"/>
          <w:lang w:val="nb-NO"/>
        </w:rPr>
        <w:t xml:space="preserve">n bản đề nghị gia hạn thời hạn hoạt động của dự án đầu tư </w:t>
      </w:r>
      <w:r>
        <w:rPr>
          <w:bCs/>
          <w:sz w:val="28"/>
          <w:szCs w:val="28"/>
          <w:lang w:val="sv-SE"/>
        </w:rPr>
        <w:t xml:space="preserve">theo </w:t>
      </w:r>
      <w:r>
        <w:rPr>
          <w:sz w:val="28"/>
          <w:szCs w:val="28"/>
        </w:rPr>
        <w:t xml:space="preserve">Mẫu A.I.14 </w:t>
      </w:r>
      <w:r>
        <w:rPr>
          <w:bCs/>
          <w:sz w:val="28"/>
          <w:szCs w:val="28"/>
          <w:lang w:val="sv-SE"/>
        </w:rPr>
        <w:t xml:space="preserve"> ban hành kèm theo Thông tư số 03/2021/TT-BKHĐT.</w:t>
      </w:r>
    </w:p>
    <w:p w:rsidR="004850DE" w:rsidRDefault="004850DE" w:rsidP="004850DE">
      <w:pPr>
        <w:widowControl w:val="0"/>
        <w:spacing w:before="60" w:line="360" w:lineRule="exact"/>
        <w:ind w:firstLine="709"/>
        <w:rPr>
          <w:sz w:val="28"/>
          <w:szCs w:val="28"/>
          <w:lang w:val="de-DE"/>
        </w:rPr>
      </w:pPr>
      <w:r>
        <w:rPr>
          <w:b/>
          <w:sz w:val="28"/>
          <w:szCs w:val="28"/>
          <w:lang w:val="de-DE"/>
        </w:rPr>
        <w:t>l)</w:t>
      </w:r>
      <w:r>
        <w:rPr>
          <w:sz w:val="28"/>
          <w:szCs w:val="28"/>
          <w:lang w:val="de-DE"/>
        </w:rPr>
        <w:t xml:space="preserve"> </w:t>
      </w:r>
      <w:r>
        <w:rPr>
          <w:b/>
          <w:sz w:val="28"/>
          <w:szCs w:val="28"/>
          <w:lang w:val="de-DE"/>
        </w:rPr>
        <w:t>Yêu cầu, điều kiện thực hiện thủ tục</w:t>
      </w:r>
      <w:r>
        <w:rPr>
          <w:sz w:val="28"/>
          <w:szCs w:val="28"/>
          <w:lang w:val="de-DE"/>
        </w:rPr>
        <w:t xml:space="preserve">: </w:t>
      </w:r>
    </w:p>
    <w:p w:rsidR="004850DE" w:rsidRDefault="004850DE" w:rsidP="004850DE">
      <w:pPr>
        <w:widowControl w:val="0"/>
        <w:spacing w:before="60" w:line="360" w:lineRule="exact"/>
        <w:ind w:firstLine="709"/>
        <w:rPr>
          <w:sz w:val="28"/>
          <w:szCs w:val="28"/>
          <w:lang w:val="de-DE"/>
        </w:rPr>
      </w:pPr>
      <w:r>
        <w:rPr>
          <w:sz w:val="28"/>
          <w:szCs w:val="28"/>
          <w:lang w:val="de-DE"/>
        </w:rPr>
        <w:t xml:space="preserve">- Dự án đầu tư thuộc thẩm quyền chấp thuận chủ trương đầu tư của </w:t>
      </w:r>
      <w:r>
        <w:rPr>
          <w:rFonts w:eastAsiaTheme="minorHAnsi"/>
          <w:color w:val="000000" w:themeColor="text1"/>
          <w:sz w:val="28"/>
          <w:szCs w:val="28"/>
          <w:lang w:val="sv-SE"/>
        </w:rPr>
        <w:t>Ủy ban nhân dân cấp tỉnh</w:t>
      </w:r>
      <w:r>
        <w:rPr>
          <w:sz w:val="28"/>
          <w:szCs w:val="28"/>
          <w:lang w:val="de-DE"/>
        </w:rPr>
        <w:t>.</w:t>
      </w:r>
    </w:p>
    <w:p w:rsidR="004850DE" w:rsidRDefault="004850DE" w:rsidP="004850DE">
      <w:pPr>
        <w:widowControl w:val="0"/>
        <w:spacing w:before="60" w:line="360" w:lineRule="exact"/>
        <w:ind w:firstLine="709"/>
        <w:rPr>
          <w:sz w:val="28"/>
          <w:szCs w:val="28"/>
          <w:lang w:val="de-DE"/>
        </w:rPr>
      </w:pPr>
      <w:r>
        <w:rPr>
          <w:sz w:val="28"/>
          <w:szCs w:val="28"/>
          <w:lang w:val="de-DE"/>
        </w:rPr>
        <w:t xml:space="preserve">- Việc gia hạn thời hạn hoạt động của dự án đầu tư phải đáp ứng các điều kiện sau: </w:t>
      </w:r>
    </w:p>
    <w:p w:rsidR="004850DE" w:rsidRDefault="004850DE" w:rsidP="004850DE">
      <w:pPr>
        <w:tabs>
          <w:tab w:val="left" w:pos="567"/>
        </w:tabs>
        <w:spacing w:before="200"/>
        <w:ind w:firstLine="709"/>
        <w:rPr>
          <w:color w:val="000000" w:themeColor="text1"/>
          <w:sz w:val="28"/>
          <w:szCs w:val="28"/>
          <w:lang w:val="vi-VN"/>
        </w:rPr>
      </w:pPr>
      <w:r>
        <w:rPr>
          <w:color w:val="000000" w:themeColor="text1"/>
          <w:sz w:val="28"/>
          <w:szCs w:val="28"/>
        </w:rPr>
        <w:t>+</w:t>
      </w:r>
      <w:r>
        <w:rPr>
          <w:color w:val="000000" w:themeColor="text1"/>
          <w:sz w:val="28"/>
          <w:szCs w:val="28"/>
          <w:lang w:val="vi-VN"/>
        </w:rPr>
        <w:t xml:space="preserve"> </w:t>
      </w:r>
      <w:r>
        <w:rPr>
          <w:color w:val="000000" w:themeColor="text1"/>
          <w:sz w:val="28"/>
          <w:szCs w:val="28"/>
        </w:rPr>
        <w:t>P</w:t>
      </w:r>
      <w:r>
        <w:rPr>
          <w:color w:val="000000" w:themeColor="text1"/>
          <w:sz w:val="28"/>
          <w:szCs w:val="28"/>
          <w:lang w:val="vi-VN"/>
        </w:rPr>
        <w:t xml:space="preserve">hù hợp với quy hoạch cấp quốc gia, quy hoạch vùng, quy hoạch tỉnh, quy hoạch đô thị và quy hoạch đơn vị hành chính </w:t>
      </w:r>
      <w:r>
        <w:rPr>
          <w:color w:val="000000" w:themeColor="text1"/>
          <w:sz w:val="28"/>
          <w:szCs w:val="28"/>
        </w:rPr>
        <w:t>-</w:t>
      </w:r>
      <w:r>
        <w:rPr>
          <w:color w:val="000000" w:themeColor="text1"/>
          <w:sz w:val="28"/>
          <w:szCs w:val="28"/>
          <w:lang w:val="vi-VN"/>
        </w:rPr>
        <w:t xml:space="preserve"> kinh tế đặc biệt (nếu có); phù hợp với mục tiêu, định hướng phát triển đô thị, chương trình kế hoạch phát triển nhà ở (đối với dự án đầu tư xây dựng nhà ở, khu đô thị);</w:t>
      </w:r>
    </w:p>
    <w:p w:rsidR="004850DE" w:rsidRDefault="004850DE" w:rsidP="004850DE">
      <w:pPr>
        <w:tabs>
          <w:tab w:val="left" w:pos="567"/>
        </w:tabs>
        <w:spacing w:before="200"/>
        <w:ind w:firstLine="709"/>
        <w:rPr>
          <w:color w:val="000000" w:themeColor="text1"/>
          <w:sz w:val="28"/>
          <w:szCs w:val="28"/>
        </w:rPr>
      </w:pPr>
      <w:r>
        <w:rPr>
          <w:color w:val="000000" w:themeColor="text1"/>
          <w:sz w:val="28"/>
          <w:szCs w:val="28"/>
        </w:rPr>
        <w:t>+</w:t>
      </w:r>
      <w:r>
        <w:rPr>
          <w:color w:val="000000" w:themeColor="text1"/>
          <w:sz w:val="28"/>
          <w:szCs w:val="28"/>
          <w:lang w:val="vi-VN"/>
        </w:rPr>
        <w:t xml:space="preserve"> Đáp ứng điều kiện giao đất, cho thuê đất theo quy định của pháp luật về đất đai (đối với trường hợp đề nghị gia hạn sử dụng đất). </w:t>
      </w:r>
    </w:p>
    <w:p w:rsidR="004850DE" w:rsidRDefault="004850DE" w:rsidP="004850DE">
      <w:pPr>
        <w:shd w:val="clear" w:color="auto" w:fill="FFFFFF"/>
        <w:spacing w:after="120" w:line="234" w:lineRule="atLeast"/>
        <w:ind w:firstLine="709"/>
        <w:rPr>
          <w:color w:val="000000"/>
          <w:sz w:val="28"/>
          <w:szCs w:val="28"/>
        </w:rPr>
      </w:pPr>
      <w:r>
        <w:rPr>
          <w:sz w:val="28"/>
          <w:szCs w:val="28"/>
          <w:lang w:val="de-DE"/>
        </w:rPr>
        <w:t>+ Không thuộc trường hợp quy định tại các điểm a, b khoản 4 Điều 44 Luật Đầu tư, bao gồm:</w:t>
      </w:r>
    </w:p>
    <w:p w:rsidR="004850DE" w:rsidRDefault="004850DE" w:rsidP="004850DE">
      <w:pPr>
        <w:shd w:val="clear" w:color="auto" w:fill="FFFFFF"/>
        <w:spacing w:after="120" w:line="360" w:lineRule="exact"/>
        <w:ind w:firstLine="709"/>
        <w:rPr>
          <w:color w:val="000000" w:themeColor="text1"/>
          <w:sz w:val="28"/>
          <w:szCs w:val="28"/>
        </w:rPr>
      </w:pPr>
      <w:r>
        <w:rPr>
          <w:color w:val="000000"/>
          <w:sz w:val="28"/>
          <w:szCs w:val="28"/>
          <w:lang w:val="vi-VN"/>
        </w:rPr>
        <w:t xml:space="preserve"> Dự án đầu tư sử dụng công nghệ lạc hậu, tiềm ẩn nguy cơ gây ô nhiễm môi trường, thâm dụng tài nguyên</w:t>
      </w:r>
      <w:r>
        <w:rPr>
          <w:color w:val="000000"/>
          <w:sz w:val="28"/>
          <w:szCs w:val="28"/>
        </w:rPr>
        <w:t xml:space="preserve">: </w:t>
      </w:r>
      <w:r>
        <w:rPr>
          <w:color w:val="000000" w:themeColor="text1"/>
          <w:sz w:val="28"/>
          <w:szCs w:val="28"/>
          <w:lang w:val="vi-VN"/>
        </w:rPr>
        <w:t>a) Dự án sử dụng dây chuyền công nghệ khi hoạt động không đáp ứng quy định của Quy chuẩn kỹ thuật quốc gia về an toàn, tiết kiệm năng lượng, bảo vệ môi trường; hoặc công suất (tính theo số lượng sản phẩm được tạo ra bởi dây chuyền công nghệ trong một đơn vị thời gian) hoặc hiệu suất của dây chuyền công nghệ còn lại dưới 85% so với công suất hoặc hiệu suất thiết kế; hoặc mức tiêu hao nguyên, vật liệu, năng lượng vượt quá 15% so với thiết kế</w:t>
      </w:r>
      <w:r>
        <w:rPr>
          <w:color w:val="000000" w:themeColor="text1"/>
          <w:sz w:val="28"/>
          <w:szCs w:val="28"/>
        </w:rPr>
        <w:t>.</w:t>
      </w:r>
    </w:p>
    <w:p w:rsidR="004850DE" w:rsidRDefault="004850DE" w:rsidP="004850DE">
      <w:pPr>
        <w:tabs>
          <w:tab w:val="left" w:pos="567"/>
        </w:tabs>
        <w:spacing w:before="140"/>
        <w:ind w:firstLine="709"/>
        <w:rPr>
          <w:color w:val="000000" w:themeColor="text1"/>
          <w:sz w:val="28"/>
          <w:szCs w:val="28"/>
        </w:rPr>
      </w:pPr>
      <w:r>
        <w:rPr>
          <w:color w:val="000000" w:themeColor="text1"/>
          <w:sz w:val="28"/>
          <w:szCs w:val="28"/>
          <w:lang w:val="vi-VN"/>
        </w:rPr>
        <w:t xml:space="preserve">Dự án sử dụng máy móc, thiết bị để sản xuất có mã hàng hóa (mã số HS) thuộc </w:t>
      </w:r>
      <w:r>
        <w:rPr>
          <w:color w:val="000000" w:themeColor="text1"/>
          <w:sz w:val="28"/>
          <w:szCs w:val="28"/>
        </w:rPr>
        <w:t xml:space="preserve">các </w:t>
      </w:r>
      <w:r>
        <w:rPr>
          <w:color w:val="000000" w:themeColor="text1"/>
          <w:sz w:val="28"/>
          <w:szCs w:val="28"/>
          <w:lang w:val="vi-VN"/>
        </w:rPr>
        <w:t xml:space="preserve">Chương 84 và 85 Danh mục hàng hóa xuất khẩu, nhập khẩu Việt Nam có tuổi vượt quá 10 năm hoặc khi hoạt động không đáp ứng quy định của Quy chuẩn kỹ thuật quốc gia về an toàn, tiết kiệm năng lượng, bảo vệ môi trường. Trường hợp không có quy chuẩn kỹ thuật quốc gia về an toàn, tiết kiệm năng lượng, bảo vệ môi trường liên quan đến máy móc, thiết bị của dự án thì áp dụng chỉ tiêu kỹ thuật </w:t>
      </w:r>
      <w:r>
        <w:rPr>
          <w:color w:val="000000" w:themeColor="text1"/>
          <w:sz w:val="28"/>
          <w:szCs w:val="28"/>
        </w:rPr>
        <w:t>theo</w:t>
      </w:r>
      <w:r>
        <w:rPr>
          <w:color w:val="000000" w:themeColor="text1"/>
          <w:sz w:val="28"/>
          <w:szCs w:val="28"/>
          <w:lang w:val="vi-VN"/>
        </w:rPr>
        <w:t xml:space="preserve"> tiêu chuẩn quốc gia của Việt Nam hoặc tiêu chuẩn quốc gia của một trong các nước G7, Hàn Quốc về an toàn, tiết kiệm năng lượng, bảo vệ môi trường.</w:t>
      </w:r>
    </w:p>
    <w:p w:rsidR="004850DE" w:rsidRDefault="004850DE" w:rsidP="004850DE">
      <w:pPr>
        <w:shd w:val="clear" w:color="auto" w:fill="FFFFFF"/>
        <w:spacing w:after="120" w:line="234" w:lineRule="atLeast"/>
        <w:ind w:firstLine="709"/>
        <w:rPr>
          <w:color w:val="000000"/>
          <w:sz w:val="28"/>
          <w:szCs w:val="28"/>
        </w:rPr>
      </w:pPr>
      <w:r>
        <w:rPr>
          <w:color w:val="000000"/>
          <w:sz w:val="28"/>
          <w:szCs w:val="28"/>
          <w:lang w:val="vi-VN"/>
        </w:rPr>
        <w:t>Dự án đầu tư thuộc trường hợp nhà đầu tư phải chuyển giao không bồi hoàn tài sản cho Nhà nước Việt Nam hoặc bên Việt Nam.</w:t>
      </w:r>
    </w:p>
    <w:p w:rsidR="004850DE" w:rsidRDefault="004850DE" w:rsidP="004850DE">
      <w:pPr>
        <w:widowControl w:val="0"/>
        <w:spacing w:before="60" w:line="360" w:lineRule="exact"/>
        <w:ind w:firstLine="709"/>
        <w:rPr>
          <w:sz w:val="28"/>
          <w:szCs w:val="28"/>
          <w:lang w:val="de-DE"/>
        </w:rPr>
      </w:pPr>
      <w:r>
        <w:rPr>
          <w:b/>
          <w:sz w:val="28"/>
          <w:szCs w:val="28"/>
          <w:lang w:val="de-DE"/>
        </w:rPr>
        <w:t>m) Căn cứ pháp lý của thủ tục hành chính</w:t>
      </w:r>
      <w:r>
        <w:rPr>
          <w:sz w:val="28"/>
          <w:szCs w:val="28"/>
          <w:lang w:val="de-DE"/>
        </w:rPr>
        <w:t>:</w:t>
      </w:r>
    </w:p>
    <w:p w:rsidR="004850DE" w:rsidRDefault="004850DE" w:rsidP="004850DE">
      <w:pPr>
        <w:widowControl w:val="0"/>
        <w:spacing w:before="60" w:line="360" w:lineRule="exact"/>
        <w:ind w:firstLine="709"/>
        <w:rPr>
          <w:sz w:val="28"/>
          <w:szCs w:val="28"/>
          <w:lang w:val="vi-VN"/>
        </w:rPr>
      </w:pPr>
      <w:r>
        <w:rPr>
          <w:sz w:val="28"/>
          <w:szCs w:val="28"/>
          <w:lang w:val="vi-VN"/>
        </w:rPr>
        <w:t>- Luật Đầu tư số 6</w:t>
      </w:r>
      <w:r>
        <w:rPr>
          <w:sz w:val="28"/>
          <w:szCs w:val="28"/>
        </w:rPr>
        <w:t>1</w:t>
      </w:r>
      <w:r>
        <w:rPr>
          <w:sz w:val="28"/>
          <w:szCs w:val="28"/>
          <w:lang w:val="vi-VN"/>
        </w:rPr>
        <w:t>/20</w:t>
      </w:r>
      <w:r>
        <w:rPr>
          <w:sz w:val="28"/>
          <w:szCs w:val="28"/>
        </w:rPr>
        <w:t>20</w:t>
      </w:r>
      <w:r>
        <w:rPr>
          <w:sz w:val="28"/>
          <w:szCs w:val="28"/>
          <w:lang w:val="vi-VN"/>
        </w:rPr>
        <w:t>/QH1</w:t>
      </w:r>
      <w:r>
        <w:rPr>
          <w:sz w:val="28"/>
          <w:szCs w:val="28"/>
        </w:rPr>
        <w:t>4</w:t>
      </w:r>
      <w:r>
        <w:rPr>
          <w:sz w:val="28"/>
          <w:szCs w:val="28"/>
          <w:lang w:val="vi-VN"/>
        </w:rPr>
        <w:t xml:space="preserve"> ngày </w:t>
      </w:r>
      <w:r>
        <w:rPr>
          <w:sz w:val="28"/>
          <w:szCs w:val="28"/>
        </w:rPr>
        <w:t>17/6/2020</w:t>
      </w:r>
      <w:r>
        <w:rPr>
          <w:sz w:val="28"/>
          <w:szCs w:val="28"/>
          <w:lang w:val="vi-VN"/>
        </w:rPr>
        <w:t>;</w:t>
      </w:r>
    </w:p>
    <w:p w:rsidR="004850DE" w:rsidRDefault="004850DE" w:rsidP="004850DE">
      <w:pPr>
        <w:widowControl w:val="0"/>
        <w:spacing w:before="60" w:line="360" w:lineRule="exact"/>
        <w:ind w:firstLine="709"/>
        <w:rPr>
          <w:sz w:val="28"/>
          <w:szCs w:val="28"/>
        </w:rPr>
      </w:pPr>
      <w:r>
        <w:rPr>
          <w:sz w:val="28"/>
          <w:szCs w:val="28"/>
          <w:lang w:val="vi-VN"/>
        </w:rPr>
        <w:t xml:space="preserve">- Nghị định số </w:t>
      </w:r>
      <w:r>
        <w:rPr>
          <w:sz w:val="28"/>
          <w:szCs w:val="28"/>
        </w:rPr>
        <w:t>31</w:t>
      </w:r>
      <w:r>
        <w:rPr>
          <w:sz w:val="28"/>
          <w:szCs w:val="28"/>
          <w:lang w:val="vi-VN"/>
        </w:rPr>
        <w:t>/20</w:t>
      </w:r>
      <w:r>
        <w:rPr>
          <w:sz w:val="28"/>
          <w:szCs w:val="28"/>
        </w:rPr>
        <w:t>21</w:t>
      </w:r>
      <w:r>
        <w:rPr>
          <w:sz w:val="28"/>
          <w:szCs w:val="28"/>
          <w:lang w:val="vi-VN"/>
        </w:rPr>
        <w:t xml:space="preserve">/NĐ-CP ngày </w:t>
      </w:r>
      <w:r>
        <w:rPr>
          <w:sz w:val="28"/>
          <w:szCs w:val="28"/>
        </w:rPr>
        <w:t>26/3/2021;</w:t>
      </w:r>
    </w:p>
    <w:p w:rsidR="004850DE" w:rsidRDefault="004850DE" w:rsidP="004850DE">
      <w:pPr>
        <w:widowControl w:val="0"/>
        <w:spacing w:before="60" w:line="360" w:lineRule="exact"/>
        <w:ind w:firstLine="709"/>
        <w:rPr>
          <w:sz w:val="28"/>
          <w:szCs w:val="28"/>
        </w:rPr>
      </w:pPr>
      <w:r>
        <w:rPr>
          <w:sz w:val="28"/>
          <w:szCs w:val="28"/>
          <w:lang w:val="vi-VN"/>
        </w:rPr>
        <w:t xml:space="preserve">- </w:t>
      </w:r>
      <w:r>
        <w:rPr>
          <w:bCs/>
          <w:sz w:val="28"/>
          <w:szCs w:val="28"/>
          <w:lang w:val="sv-SE"/>
        </w:rPr>
        <w:t>Thông tư số 03/2021/TT-BKHĐT ngày 09/4/2021.</w:t>
      </w:r>
    </w:p>
    <w:p w:rsidR="00663A31" w:rsidRPr="00E83D49" w:rsidRDefault="00663A31" w:rsidP="004850DE">
      <w:pPr>
        <w:widowControl w:val="0"/>
        <w:spacing w:before="60" w:line="360" w:lineRule="exact"/>
        <w:ind w:firstLine="709"/>
      </w:pPr>
      <w:bookmarkStart w:id="0" w:name="_GoBack"/>
      <w:bookmarkEnd w:id="0"/>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3261D"/>
    <w:rsid w:val="000370C5"/>
    <w:rsid w:val="00067B42"/>
    <w:rsid w:val="00071152"/>
    <w:rsid w:val="00091141"/>
    <w:rsid w:val="000A5D9E"/>
    <w:rsid w:val="000D0CD0"/>
    <w:rsid w:val="00110B34"/>
    <w:rsid w:val="00167EFD"/>
    <w:rsid w:val="001D5132"/>
    <w:rsid w:val="001F1A0E"/>
    <w:rsid w:val="00232DA7"/>
    <w:rsid w:val="00250C9A"/>
    <w:rsid w:val="002550F3"/>
    <w:rsid w:val="00256744"/>
    <w:rsid w:val="00262FD3"/>
    <w:rsid w:val="00265B31"/>
    <w:rsid w:val="00273447"/>
    <w:rsid w:val="00275783"/>
    <w:rsid w:val="00275DC5"/>
    <w:rsid w:val="002C1D8B"/>
    <w:rsid w:val="002C4160"/>
    <w:rsid w:val="002C4A88"/>
    <w:rsid w:val="002F341E"/>
    <w:rsid w:val="00305A91"/>
    <w:rsid w:val="00316245"/>
    <w:rsid w:val="00316562"/>
    <w:rsid w:val="00322E4C"/>
    <w:rsid w:val="00333B2C"/>
    <w:rsid w:val="003364BA"/>
    <w:rsid w:val="00351952"/>
    <w:rsid w:val="00355D06"/>
    <w:rsid w:val="00382215"/>
    <w:rsid w:val="003A0BE9"/>
    <w:rsid w:val="003C30DD"/>
    <w:rsid w:val="003C6EF0"/>
    <w:rsid w:val="003D27E9"/>
    <w:rsid w:val="003E30CD"/>
    <w:rsid w:val="00440797"/>
    <w:rsid w:val="004456C3"/>
    <w:rsid w:val="00477114"/>
    <w:rsid w:val="004850DE"/>
    <w:rsid w:val="00492EF1"/>
    <w:rsid w:val="004A0A65"/>
    <w:rsid w:val="004C26E6"/>
    <w:rsid w:val="004D5A6C"/>
    <w:rsid w:val="00527EC1"/>
    <w:rsid w:val="00541507"/>
    <w:rsid w:val="005469FF"/>
    <w:rsid w:val="005B02CE"/>
    <w:rsid w:val="005B3A16"/>
    <w:rsid w:val="005B3AE8"/>
    <w:rsid w:val="005D00C3"/>
    <w:rsid w:val="0060782E"/>
    <w:rsid w:val="00607BFA"/>
    <w:rsid w:val="00663A31"/>
    <w:rsid w:val="006A0E29"/>
    <w:rsid w:val="006C6969"/>
    <w:rsid w:val="006D4506"/>
    <w:rsid w:val="007049E2"/>
    <w:rsid w:val="007125F5"/>
    <w:rsid w:val="0072331C"/>
    <w:rsid w:val="00785E29"/>
    <w:rsid w:val="007C78D9"/>
    <w:rsid w:val="007E51E3"/>
    <w:rsid w:val="00800EDE"/>
    <w:rsid w:val="0080146D"/>
    <w:rsid w:val="0081515A"/>
    <w:rsid w:val="00845101"/>
    <w:rsid w:val="008632DF"/>
    <w:rsid w:val="008A2AB4"/>
    <w:rsid w:val="008B433E"/>
    <w:rsid w:val="008D6834"/>
    <w:rsid w:val="008E5CBE"/>
    <w:rsid w:val="009059CD"/>
    <w:rsid w:val="00906FD8"/>
    <w:rsid w:val="009153CF"/>
    <w:rsid w:val="00915D7D"/>
    <w:rsid w:val="00924176"/>
    <w:rsid w:val="0092559E"/>
    <w:rsid w:val="00960BD3"/>
    <w:rsid w:val="00965090"/>
    <w:rsid w:val="009A2B71"/>
    <w:rsid w:val="009C3A1A"/>
    <w:rsid w:val="009C4C82"/>
    <w:rsid w:val="009E0404"/>
    <w:rsid w:val="009F5110"/>
    <w:rsid w:val="009F6DBA"/>
    <w:rsid w:val="00A04BC2"/>
    <w:rsid w:val="00A40CA4"/>
    <w:rsid w:val="00A46F60"/>
    <w:rsid w:val="00A802E4"/>
    <w:rsid w:val="00AC0DCB"/>
    <w:rsid w:val="00AD3497"/>
    <w:rsid w:val="00AD65D6"/>
    <w:rsid w:val="00B039A7"/>
    <w:rsid w:val="00B624D8"/>
    <w:rsid w:val="00B813BD"/>
    <w:rsid w:val="00BB15CC"/>
    <w:rsid w:val="00BD435A"/>
    <w:rsid w:val="00C03CAC"/>
    <w:rsid w:val="00C23AD2"/>
    <w:rsid w:val="00C268E1"/>
    <w:rsid w:val="00C65BA0"/>
    <w:rsid w:val="00C76036"/>
    <w:rsid w:val="00CE4453"/>
    <w:rsid w:val="00CE5F9D"/>
    <w:rsid w:val="00CE665F"/>
    <w:rsid w:val="00D138E0"/>
    <w:rsid w:val="00D56FD4"/>
    <w:rsid w:val="00D70367"/>
    <w:rsid w:val="00DB3002"/>
    <w:rsid w:val="00DD3FC2"/>
    <w:rsid w:val="00DF61CE"/>
    <w:rsid w:val="00E02E09"/>
    <w:rsid w:val="00E679E3"/>
    <w:rsid w:val="00E82F89"/>
    <w:rsid w:val="00E83D49"/>
    <w:rsid w:val="00E8550E"/>
    <w:rsid w:val="00EB66C3"/>
    <w:rsid w:val="00EC391A"/>
    <w:rsid w:val="00F23D54"/>
    <w:rsid w:val="00F35BDE"/>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QY5UZ4ZQWDMN-1850682920-352</_dlc_DocId>
    <_dlc_DocIdUrl xmlns="df6cab6d-25a5-4a45-89de-f19c5af208b6">
      <Url>https://stc.dongnai.gov.vn/_layouts/15/DocIdRedir.aspx?ID=QY5UZ4ZQWDMN-1850682920-352</Url>
      <Description>QY5UZ4ZQWDMN-1850682920-352</Description>
    </_dlc_DocIdUrl>
  </documentManagement>
</p:properties>
</file>

<file path=customXml/itemProps1.xml><?xml version="1.0" encoding="utf-8"?>
<ds:datastoreItem xmlns:ds="http://schemas.openxmlformats.org/officeDocument/2006/customXml" ds:itemID="{66A413EA-5492-4D4B-B4CD-1F92D771E138}"/>
</file>

<file path=customXml/itemProps2.xml><?xml version="1.0" encoding="utf-8"?>
<ds:datastoreItem xmlns:ds="http://schemas.openxmlformats.org/officeDocument/2006/customXml" ds:itemID="{E7E97293-9E43-4B76-B455-7FDECDAF5784}"/>
</file>

<file path=customXml/itemProps3.xml><?xml version="1.0" encoding="utf-8"?>
<ds:datastoreItem xmlns:ds="http://schemas.openxmlformats.org/officeDocument/2006/customXml" ds:itemID="{0F45EB38-5860-4C87-BB28-F202BB758A16}"/>
</file>

<file path=customXml/itemProps4.xml><?xml version="1.0" encoding="utf-8"?>
<ds:datastoreItem xmlns:ds="http://schemas.openxmlformats.org/officeDocument/2006/customXml" ds:itemID="{3F70C355-3664-4FC9-A834-88B323AB5728}"/>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2025-08-20T15:19:00Z</dcterms:created>
  <dcterms:modified xsi:type="dcterms:W3CDTF">2025-08-20T15:20:00Z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6db0e898-0976-4668-97c8-4a7ca123fc73</vt:lpwstr>
  </property>
</Properties>
</file>