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13" w:rsidRPr="00AD5371" w:rsidRDefault="00B94B66" w:rsidP="00C71332">
      <w:pPr>
        <w:pStyle w:val="Heading1"/>
        <w:widowControl w:val="0"/>
        <w:shd w:val="clear" w:color="auto" w:fill="FFFFFF"/>
        <w:spacing w:before="0"/>
        <w:rPr>
          <w:rFonts w:ascii="Times New Roman" w:hAnsi="Times New Roman" w:cs="Times New Roman"/>
          <w:b/>
          <w:color w:val="000000" w:themeColor="text1"/>
          <w:sz w:val="28"/>
          <w:szCs w:val="28"/>
        </w:rPr>
      </w:pPr>
      <w:r w:rsidRPr="00AD5371">
        <w:rPr>
          <w:rFonts w:ascii="Times New Roman" w:hAnsi="Times New Roman" w:cs="Times New Roman"/>
          <w:b/>
          <w:color w:val="000000" w:themeColor="text1"/>
          <w:sz w:val="28"/>
          <w:szCs w:val="28"/>
          <w:shd w:val="clear" w:color="auto" w:fill="FFFFFF"/>
        </w:rPr>
        <w:t>Thẩm định, phê duyệt, điều chỉnh, bổ sung Kế hoạch quản lý, khai thác nhà, đất</w:t>
      </w:r>
      <w:r w:rsidR="00900856" w:rsidRPr="00AD5371">
        <w:rPr>
          <w:rFonts w:ascii="Times New Roman" w:hAnsi="Times New Roman" w:cs="Times New Roman"/>
          <w:b/>
          <w:color w:val="000000" w:themeColor="text1"/>
          <w:sz w:val="28"/>
          <w:szCs w:val="28"/>
          <w:lang w:val="vi-VN"/>
        </w:rPr>
        <w:t xml:space="preserve"> </w:t>
      </w:r>
      <w:r w:rsidR="00CB4313" w:rsidRPr="00AD5371">
        <w:rPr>
          <w:rFonts w:ascii="Times New Roman" w:hAnsi="Times New Roman" w:cs="Times New Roman"/>
          <w:b/>
          <w:color w:val="000000" w:themeColor="text1"/>
          <w:sz w:val="28"/>
          <w:szCs w:val="28"/>
          <w:lang w:val="vi-VN"/>
        </w:rPr>
        <w:t>(</w:t>
      </w:r>
      <w:r w:rsidR="00CB4313" w:rsidRPr="00AD5371">
        <w:rPr>
          <w:rFonts w:ascii="Times New Roman" w:hAnsi="Times New Roman" w:cs="Times New Roman"/>
          <w:b/>
          <w:color w:val="000000" w:themeColor="text1"/>
          <w:sz w:val="28"/>
          <w:szCs w:val="28"/>
        </w:rPr>
        <w:t xml:space="preserve">mã số </w:t>
      </w:r>
      <w:r w:rsidRPr="00AD5371">
        <w:rPr>
          <w:rFonts w:ascii="Times New Roman" w:hAnsi="Times New Roman" w:cs="Times New Roman"/>
          <w:b/>
          <w:color w:val="000000" w:themeColor="text1"/>
          <w:sz w:val="28"/>
          <w:szCs w:val="28"/>
        </w:rPr>
        <w:t>3.000291</w:t>
      </w:r>
      <w:r w:rsidR="00CB4313" w:rsidRPr="00AD5371">
        <w:rPr>
          <w:rFonts w:ascii="Times New Roman" w:hAnsi="Times New Roman" w:cs="Times New Roman"/>
          <w:b/>
          <w:color w:val="000000" w:themeColor="text1"/>
          <w:sz w:val="28"/>
          <w:szCs w:val="28"/>
          <w:lang w:val="vi-VN"/>
        </w:rPr>
        <w:t>)</w:t>
      </w:r>
    </w:p>
    <w:p w:rsidR="005C32D5" w:rsidRPr="00AD5371" w:rsidRDefault="005C32D5" w:rsidP="005C32D5">
      <w:pPr>
        <w:widowControl w:val="0"/>
        <w:spacing w:after="120" w:line="360" w:lineRule="exact"/>
        <w:ind w:firstLine="567"/>
        <w:rPr>
          <w:b/>
          <w:color w:val="000000" w:themeColor="text1"/>
          <w:sz w:val="28"/>
          <w:szCs w:val="28"/>
        </w:rPr>
      </w:pPr>
      <w:r w:rsidRPr="00AD5371">
        <w:rPr>
          <w:b/>
          <w:color w:val="000000" w:themeColor="text1"/>
          <w:sz w:val="28"/>
          <w:szCs w:val="28"/>
        </w:rPr>
        <w:t xml:space="preserve">a. Trình tự thực hiện: </w:t>
      </w:r>
    </w:p>
    <w:p w:rsidR="00796BE1" w:rsidRPr="00AD5371" w:rsidRDefault="00E919A8" w:rsidP="00285714">
      <w:pPr>
        <w:widowControl w:val="0"/>
        <w:spacing w:after="120" w:line="360" w:lineRule="exact"/>
        <w:ind w:firstLine="567"/>
        <w:rPr>
          <w:color w:val="000000" w:themeColor="text1"/>
          <w:sz w:val="28"/>
          <w:szCs w:val="28"/>
          <w:shd w:val="clear" w:color="auto" w:fill="FFFFFF"/>
        </w:rPr>
      </w:pPr>
      <w:r w:rsidRPr="00AD5371">
        <w:rPr>
          <w:color w:val="000000" w:themeColor="text1"/>
          <w:sz w:val="28"/>
          <w:szCs w:val="28"/>
          <w:shd w:val="clear" w:color="auto" w:fill="FFFFFF"/>
        </w:rPr>
        <w:t xml:space="preserve">- Hàng năm, chậm nhất là ngày 31 tháng 10, tổ chức có chức năng quản lý, kinh doanh nhà địa phương lập Kế hoạch quản lý, khai thác nhà, đất, gửi Sở Tài chính; trường hợp tổ chức quản lý, kinh doanh nhà là đơn vị sự nghiệp công lập có cơ quan quản lý cấp trên thì tổ chức quản lý, kinh doanh nhà phải báo cáo cơ quan quản lý cấp trên để tổng hợp, có ý kiến bằng văn bản gửi Sở Tài chính. Trường hợp phải điều chỉnh Kế hoạch quản lý, khai thác nhà, đất do phát sinh các trường hợp thay đổi số lượng nhà, đất được giao quản lý, khai thác hoặc thay đổi giữa các mục đích quy định tại điểm a, điểm b khoản 1 Điều 1 Nghị định số 108/2024/NĐ-CP ngày 23/8/2024 của Chính phủ, tổ chức quản lý, kinh doanh nhà có trách nhiệm lập Kế hoạch điều chỉnh, bổ sung. </w:t>
      </w:r>
    </w:p>
    <w:p w:rsidR="00796BE1" w:rsidRPr="00AD5371" w:rsidRDefault="00E919A8" w:rsidP="00285714">
      <w:pPr>
        <w:widowControl w:val="0"/>
        <w:spacing w:after="120" w:line="360" w:lineRule="exact"/>
        <w:ind w:firstLine="567"/>
        <w:rPr>
          <w:color w:val="000000" w:themeColor="text1"/>
          <w:sz w:val="28"/>
          <w:szCs w:val="28"/>
          <w:shd w:val="clear" w:color="auto" w:fill="FFFFFF"/>
        </w:rPr>
      </w:pPr>
      <w:r w:rsidRPr="00AD5371">
        <w:rPr>
          <w:color w:val="000000" w:themeColor="text1"/>
          <w:sz w:val="28"/>
          <w:szCs w:val="28"/>
          <w:shd w:val="clear" w:color="auto" w:fill="FFFFFF"/>
        </w:rPr>
        <w:t>- Trong thời hạn 30 ngày, kể từ ngày nhận được Kế hoạch quản lý, khai thác nhà, đất theo quy định, Sở Tài chính có trách nhiệm chủ trì, phối hợp với Sở Xây dựng, Sở Tài nguyên và Môi trường, Sở Quy hoạch và Kiến trúc (nếu có), Cục Thuế, Ủy ban nhân dân cấp huyện và các cơ quan, đơn vị khác có liên quan (nếu cần) thẩm định sự phù hợp của nội dung kế hoạch thực hiện của năm sau với các căn cứ xây dựng Kế hoạch quản lý, khai thác nhà, đất của tổ chức quản lý, kinh doanh nhà, trình Ủy ban nhân dân cấp tỉnh xem xét, phê duyệt.</w:t>
      </w:r>
    </w:p>
    <w:p w:rsidR="00796BE1" w:rsidRPr="00AD5371" w:rsidRDefault="00285714" w:rsidP="00285714">
      <w:pPr>
        <w:widowControl w:val="0"/>
        <w:spacing w:after="120" w:line="360" w:lineRule="exact"/>
        <w:ind w:firstLine="567"/>
        <w:rPr>
          <w:b/>
          <w:color w:val="000000" w:themeColor="text1"/>
          <w:sz w:val="28"/>
          <w:szCs w:val="28"/>
        </w:rPr>
      </w:pPr>
      <w:r w:rsidRPr="00AD5371">
        <w:rPr>
          <w:b/>
          <w:color w:val="000000" w:themeColor="text1"/>
          <w:sz w:val="28"/>
          <w:szCs w:val="28"/>
        </w:rPr>
        <w:t xml:space="preserve">b. Cách thức thực hiện: </w:t>
      </w:r>
    </w:p>
    <w:p w:rsidR="00796BE1" w:rsidRPr="00AD5371" w:rsidRDefault="00796BE1" w:rsidP="00796BE1">
      <w:pPr>
        <w:widowControl w:val="0"/>
        <w:spacing w:after="120" w:line="271" w:lineRule="auto"/>
        <w:ind w:firstLine="567"/>
        <w:rPr>
          <w:color w:val="000000" w:themeColor="text1"/>
          <w:sz w:val="28"/>
          <w:szCs w:val="28"/>
        </w:rPr>
      </w:pPr>
      <w:r w:rsidRPr="00AD5371">
        <w:rPr>
          <w:color w:val="000000" w:themeColor="text1"/>
          <w:sz w:val="28"/>
          <w:szCs w:val="28"/>
        </w:rPr>
        <w:t>- Trực tiếp tại Trung tâm Phục vụ hành chính công tỉnh.</w:t>
      </w:r>
    </w:p>
    <w:p w:rsidR="00796BE1" w:rsidRPr="00AD5371" w:rsidRDefault="00796BE1" w:rsidP="00796BE1">
      <w:pPr>
        <w:widowControl w:val="0"/>
        <w:spacing w:after="120" w:line="271" w:lineRule="auto"/>
        <w:ind w:firstLine="567"/>
        <w:rPr>
          <w:color w:val="000000" w:themeColor="text1"/>
          <w:sz w:val="28"/>
          <w:szCs w:val="28"/>
        </w:rPr>
      </w:pPr>
      <w:r w:rsidRPr="00AD5371">
        <w:rPr>
          <w:color w:val="000000" w:themeColor="text1"/>
          <w:sz w:val="28"/>
          <w:szCs w:val="28"/>
        </w:rPr>
        <w:t>- Qua đường bưu điện.</w:t>
      </w:r>
    </w:p>
    <w:p w:rsidR="00796BE1" w:rsidRPr="00AD5371" w:rsidRDefault="00796BE1" w:rsidP="00796BE1">
      <w:pPr>
        <w:widowControl w:val="0"/>
        <w:spacing w:after="120" w:line="271" w:lineRule="auto"/>
        <w:ind w:firstLine="567"/>
        <w:rPr>
          <w:color w:val="000000" w:themeColor="text1"/>
          <w:sz w:val="28"/>
          <w:szCs w:val="28"/>
        </w:rPr>
      </w:pPr>
      <w:r w:rsidRPr="00AD5371">
        <w:rPr>
          <w:color w:val="000000" w:themeColor="text1"/>
          <w:sz w:val="28"/>
          <w:szCs w:val="28"/>
        </w:rPr>
        <w:t>- Trực tuyến qua Cổng DVC quốc gia.</w:t>
      </w:r>
    </w:p>
    <w:p w:rsidR="00285714" w:rsidRPr="00AD5371" w:rsidRDefault="00285714" w:rsidP="00285714">
      <w:pPr>
        <w:widowControl w:val="0"/>
        <w:spacing w:after="120" w:line="360" w:lineRule="exact"/>
        <w:ind w:firstLine="567"/>
        <w:rPr>
          <w:b/>
          <w:color w:val="000000" w:themeColor="text1"/>
          <w:sz w:val="28"/>
          <w:szCs w:val="28"/>
        </w:rPr>
      </w:pPr>
      <w:r w:rsidRPr="00AD5371">
        <w:rPr>
          <w:b/>
          <w:color w:val="000000" w:themeColor="text1"/>
          <w:sz w:val="28"/>
          <w:szCs w:val="28"/>
        </w:rPr>
        <w:t xml:space="preserve">c. Thành phần, số lượng hồ sơ: </w:t>
      </w:r>
    </w:p>
    <w:p w:rsidR="00D402E1" w:rsidRPr="00AD5371" w:rsidRDefault="00D402E1" w:rsidP="00285714">
      <w:pPr>
        <w:widowControl w:val="0"/>
        <w:spacing w:after="120" w:line="360" w:lineRule="exact"/>
        <w:ind w:firstLine="567"/>
        <w:rPr>
          <w:color w:val="000000" w:themeColor="text1"/>
          <w:sz w:val="28"/>
          <w:szCs w:val="28"/>
          <w:shd w:val="clear" w:color="auto" w:fill="FFFFFF"/>
        </w:rPr>
      </w:pPr>
      <w:r w:rsidRPr="00AD5371">
        <w:rPr>
          <w:color w:val="000000" w:themeColor="text1"/>
          <w:sz w:val="28"/>
          <w:szCs w:val="28"/>
          <w:shd w:val="clear" w:color="auto" w:fill="FFFFFF"/>
        </w:rPr>
        <w:t>Văn bản của tổ chức quản lý, kinh doanh nhà địa phương kèm Kế hoạch quản lý, khai thác nhà, đất:</w:t>
      </w:r>
    </w:p>
    <w:p w:rsidR="00053233" w:rsidRPr="00AD5371" w:rsidRDefault="00053233" w:rsidP="00285714">
      <w:pPr>
        <w:widowControl w:val="0"/>
        <w:spacing w:after="120" w:line="360" w:lineRule="exact"/>
        <w:ind w:firstLine="567"/>
        <w:rPr>
          <w:color w:val="000000" w:themeColor="text1"/>
          <w:sz w:val="28"/>
          <w:szCs w:val="28"/>
          <w:shd w:val="clear" w:color="auto" w:fill="FFFFFF"/>
        </w:rPr>
      </w:pPr>
      <w:r w:rsidRPr="00AD5371">
        <w:rPr>
          <w:color w:val="000000" w:themeColor="text1"/>
          <w:sz w:val="28"/>
          <w:szCs w:val="28"/>
          <w:shd w:val="clear" w:color="auto" w:fill="FFFFFF"/>
        </w:rPr>
        <w:t>Số lượng: 01 bộ</w:t>
      </w:r>
    </w:p>
    <w:p w:rsidR="00285714" w:rsidRPr="00AD5371" w:rsidRDefault="00285714" w:rsidP="00285714">
      <w:pPr>
        <w:widowControl w:val="0"/>
        <w:spacing w:after="120" w:line="360" w:lineRule="exact"/>
        <w:ind w:firstLine="567"/>
        <w:rPr>
          <w:color w:val="000000" w:themeColor="text1"/>
          <w:sz w:val="28"/>
          <w:szCs w:val="28"/>
        </w:rPr>
      </w:pPr>
      <w:r w:rsidRPr="00AD5371">
        <w:rPr>
          <w:b/>
          <w:color w:val="000000" w:themeColor="text1"/>
          <w:sz w:val="28"/>
          <w:szCs w:val="28"/>
        </w:rPr>
        <w:t>d. Thời hạn giải quyết</w:t>
      </w:r>
      <w:r w:rsidRPr="00AD5371">
        <w:rPr>
          <w:color w:val="000000" w:themeColor="text1"/>
          <w:sz w:val="28"/>
          <w:szCs w:val="28"/>
        </w:rPr>
        <w:t xml:space="preserve">: </w:t>
      </w:r>
      <w:r w:rsidR="005D28CE" w:rsidRPr="00AD5371">
        <w:rPr>
          <w:color w:val="000000" w:themeColor="text1"/>
          <w:sz w:val="28"/>
          <w:szCs w:val="28"/>
          <w:shd w:val="clear" w:color="auto" w:fill="FFFFFF"/>
        </w:rPr>
        <w:t>Trong thời hạn 30 ngày kể từ ngày nhận được Kế hoạch quản lý, khai thác nhà, đất hàng năm hoặc Kế hoạch điều chỉnh, bổ sung thì Sở Tài chính phải trình Ủy ban nhân dân cấp tỉnh xem xét, phê duyệt</w:t>
      </w:r>
    </w:p>
    <w:p w:rsidR="00C93D13" w:rsidRPr="00AD5371" w:rsidRDefault="00285714" w:rsidP="00285714">
      <w:pPr>
        <w:widowControl w:val="0"/>
        <w:spacing w:after="120" w:line="360" w:lineRule="exact"/>
        <w:ind w:firstLine="567"/>
        <w:rPr>
          <w:color w:val="000000" w:themeColor="text1"/>
          <w:sz w:val="28"/>
          <w:szCs w:val="28"/>
          <w:shd w:val="clear" w:color="auto" w:fill="FFFFFF"/>
        </w:rPr>
      </w:pPr>
      <w:r w:rsidRPr="00AD5371">
        <w:rPr>
          <w:b/>
          <w:color w:val="000000" w:themeColor="text1"/>
          <w:sz w:val="28"/>
          <w:szCs w:val="28"/>
        </w:rPr>
        <w:t>đ. Đối tượng thực hiện thủ tụ</w:t>
      </w:r>
      <w:bookmarkStart w:id="0" w:name="_GoBack"/>
      <w:bookmarkEnd w:id="0"/>
      <w:r w:rsidRPr="00AD5371">
        <w:rPr>
          <w:b/>
          <w:color w:val="000000" w:themeColor="text1"/>
          <w:sz w:val="28"/>
          <w:szCs w:val="28"/>
        </w:rPr>
        <w:t>c hành chính</w:t>
      </w:r>
      <w:r w:rsidR="00C93D13" w:rsidRPr="00AD5371">
        <w:rPr>
          <w:b/>
          <w:color w:val="000000" w:themeColor="text1"/>
          <w:sz w:val="28"/>
          <w:szCs w:val="28"/>
        </w:rPr>
        <w:t xml:space="preserve">: </w:t>
      </w:r>
      <w:r w:rsidR="00C93D13" w:rsidRPr="00AD5371">
        <w:rPr>
          <w:color w:val="000000" w:themeColor="text1"/>
          <w:sz w:val="28"/>
          <w:szCs w:val="28"/>
          <w:shd w:val="clear" w:color="auto" w:fill="FFFFFF"/>
        </w:rPr>
        <w:t xml:space="preserve">Doanh nghiệp, Tổ chức (không </w:t>
      </w:r>
      <w:r w:rsidR="00C93D13" w:rsidRPr="00AD5371">
        <w:rPr>
          <w:color w:val="000000" w:themeColor="text1"/>
          <w:sz w:val="28"/>
          <w:szCs w:val="28"/>
          <w:shd w:val="clear" w:color="auto" w:fill="FFFFFF"/>
        </w:rPr>
        <w:lastRenderedPageBreak/>
        <w:t>bao gồm doanh nghiệp, HTX)</w:t>
      </w:r>
    </w:p>
    <w:p w:rsidR="00285714" w:rsidRPr="00AD5371" w:rsidRDefault="00285714" w:rsidP="00285714">
      <w:pPr>
        <w:widowControl w:val="0"/>
        <w:spacing w:after="120" w:line="360" w:lineRule="exact"/>
        <w:ind w:firstLine="567"/>
        <w:rPr>
          <w:b/>
          <w:color w:val="000000" w:themeColor="text1"/>
          <w:sz w:val="28"/>
          <w:szCs w:val="28"/>
        </w:rPr>
      </w:pPr>
      <w:r w:rsidRPr="00AD5371">
        <w:rPr>
          <w:b/>
          <w:color w:val="000000" w:themeColor="text1"/>
          <w:sz w:val="28"/>
          <w:szCs w:val="28"/>
        </w:rPr>
        <w:t xml:space="preserve">e. Cơ quan giải quyết thủ tục hành chính: </w:t>
      </w:r>
    </w:p>
    <w:p w:rsidR="000D2213" w:rsidRPr="00AD5371" w:rsidRDefault="000D2213" w:rsidP="000D2213">
      <w:pPr>
        <w:widowControl w:val="0"/>
        <w:spacing w:after="120" w:line="271" w:lineRule="auto"/>
        <w:ind w:firstLine="567"/>
        <w:rPr>
          <w:color w:val="000000" w:themeColor="text1"/>
          <w:sz w:val="28"/>
          <w:szCs w:val="28"/>
        </w:rPr>
      </w:pPr>
      <w:r w:rsidRPr="00AD5371">
        <w:rPr>
          <w:color w:val="000000" w:themeColor="text1"/>
          <w:sz w:val="28"/>
          <w:szCs w:val="28"/>
        </w:rPr>
        <w:t>- Cơ quan có thẩm quyền quyết định: UBND tỉnh.</w:t>
      </w:r>
    </w:p>
    <w:p w:rsidR="000D2213" w:rsidRPr="00AD5371" w:rsidRDefault="000D2213" w:rsidP="000D2213">
      <w:pPr>
        <w:widowControl w:val="0"/>
        <w:spacing w:after="120" w:line="271" w:lineRule="auto"/>
        <w:ind w:firstLine="567"/>
        <w:rPr>
          <w:color w:val="000000" w:themeColor="text1"/>
          <w:sz w:val="28"/>
          <w:szCs w:val="28"/>
        </w:rPr>
      </w:pPr>
      <w:r w:rsidRPr="00AD5371">
        <w:rPr>
          <w:color w:val="000000" w:themeColor="text1"/>
          <w:sz w:val="28"/>
          <w:szCs w:val="28"/>
        </w:rPr>
        <w:t>- Cơ quan thực hiện TTHC: Sở Tài chính.</w:t>
      </w:r>
    </w:p>
    <w:p w:rsidR="00336119" w:rsidRPr="00AD5371" w:rsidRDefault="00285714" w:rsidP="00285714">
      <w:pPr>
        <w:widowControl w:val="0"/>
        <w:spacing w:after="120" w:line="360" w:lineRule="exact"/>
        <w:ind w:firstLine="567"/>
        <w:rPr>
          <w:color w:val="000000" w:themeColor="text1"/>
          <w:sz w:val="28"/>
          <w:szCs w:val="28"/>
          <w:shd w:val="clear" w:color="auto" w:fill="FFFFFF"/>
        </w:rPr>
      </w:pPr>
      <w:r w:rsidRPr="00AD5371">
        <w:rPr>
          <w:b/>
          <w:color w:val="000000" w:themeColor="text1"/>
          <w:sz w:val="28"/>
          <w:szCs w:val="28"/>
        </w:rPr>
        <w:t>g. Kết quả thực hiện thủ tục hành chính:</w:t>
      </w:r>
      <w:r w:rsidRPr="00AD5371">
        <w:rPr>
          <w:color w:val="000000" w:themeColor="text1"/>
          <w:sz w:val="28"/>
          <w:szCs w:val="28"/>
        </w:rPr>
        <w:t xml:space="preserve"> </w:t>
      </w:r>
      <w:r w:rsidR="00336119" w:rsidRPr="00AD5371">
        <w:rPr>
          <w:color w:val="000000" w:themeColor="text1"/>
          <w:sz w:val="28"/>
          <w:szCs w:val="28"/>
          <w:shd w:val="clear" w:color="auto" w:fill="FFFFFF"/>
        </w:rPr>
        <w:t>Quyết định phê duyệt Kế hoạch quản lý, khai thác nhà, đất.</w:t>
      </w:r>
    </w:p>
    <w:p w:rsidR="00285714" w:rsidRPr="00AD5371" w:rsidRDefault="00285714" w:rsidP="00285714">
      <w:pPr>
        <w:widowControl w:val="0"/>
        <w:spacing w:after="120" w:line="360" w:lineRule="exact"/>
        <w:ind w:firstLine="567"/>
        <w:rPr>
          <w:color w:val="000000" w:themeColor="text1"/>
          <w:sz w:val="28"/>
          <w:szCs w:val="28"/>
        </w:rPr>
      </w:pPr>
      <w:r w:rsidRPr="00AD5371">
        <w:rPr>
          <w:b/>
          <w:color w:val="000000" w:themeColor="text1"/>
          <w:sz w:val="28"/>
          <w:szCs w:val="28"/>
        </w:rPr>
        <w:t>i. Tên, đơn, mẫu tờ khai:</w:t>
      </w:r>
      <w:r w:rsidRPr="00AD5371">
        <w:rPr>
          <w:color w:val="000000" w:themeColor="text1"/>
          <w:sz w:val="28"/>
          <w:szCs w:val="28"/>
        </w:rPr>
        <w:t xml:space="preserve"> Mẫu số 01 Phụ lục đính kèm Nghị định số 02/2024/ND-CP.</w:t>
      </w:r>
    </w:p>
    <w:p w:rsidR="00285714" w:rsidRPr="00AD5371" w:rsidRDefault="00285714" w:rsidP="00285714">
      <w:pPr>
        <w:widowControl w:val="0"/>
        <w:spacing w:after="120" w:line="360" w:lineRule="exact"/>
        <w:ind w:firstLine="567"/>
        <w:rPr>
          <w:b/>
          <w:color w:val="000000" w:themeColor="text1"/>
          <w:sz w:val="28"/>
          <w:szCs w:val="28"/>
        </w:rPr>
      </w:pPr>
      <w:r w:rsidRPr="00AD5371">
        <w:rPr>
          <w:b/>
          <w:color w:val="000000" w:themeColor="text1"/>
          <w:sz w:val="28"/>
          <w:szCs w:val="28"/>
        </w:rPr>
        <w:t xml:space="preserve">k. Yêu cầu, điều kiện thực hiện thủ tục hành chính: </w:t>
      </w:r>
      <w:r w:rsidR="00336119" w:rsidRPr="00AD5371">
        <w:rPr>
          <w:b/>
          <w:color w:val="000000" w:themeColor="text1"/>
          <w:sz w:val="28"/>
          <w:szCs w:val="28"/>
        </w:rPr>
        <w:t>không có</w:t>
      </w:r>
    </w:p>
    <w:p w:rsidR="00285714" w:rsidRPr="00AD5371" w:rsidRDefault="00285714" w:rsidP="00285714">
      <w:pPr>
        <w:widowControl w:val="0"/>
        <w:spacing w:after="120" w:line="360" w:lineRule="exact"/>
        <w:ind w:firstLine="567"/>
        <w:rPr>
          <w:b/>
          <w:color w:val="000000" w:themeColor="text1"/>
          <w:sz w:val="28"/>
          <w:szCs w:val="28"/>
        </w:rPr>
      </w:pPr>
      <w:r w:rsidRPr="00AD5371">
        <w:rPr>
          <w:b/>
          <w:color w:val="000000" w:themeColor="text1"/>
          <w:sz w:val="28"/>
          <w:szCs w:val="28"/>
        </w:rPr>
        <w:t xml:space="preserve">1. Căn cứ pháp lý của thủ tục hành chính: </w:t>
      </w:r>
    </w:p>
    <w:p w:rsidR="00285714" w:rsidRPr="00AD5371" w:rsidRDefault="00285714" w:rsidP="00285714">
      <w:pPr>
        <w:widowControl w:val="0"/>
        <w:spacing w:after="120" w:line="360" w:lineRule="exact"/>
        <w:ind w:firstLine="567"/>
        <w:rPr>
          <w:b/>
          <w:bCs/>
          <w:color w:val="000000" w:themeColor="text1"/>
          <w:sz w:val="28"/>
          <w:szCs w:val="28"/>
          <w:lang w:val="es-ES"/>
        </w:rPr>
      </w:pPr>
      <w:r w:rsidRPr="00AD5371">
        <w:rPr>
          <w:color w:val="000000" w:themeColor="text1"/>
          <w:sz w:val="28"/>
          <w:szCs w:val="28"/>
        </w:rPr>
        <w:t>Nghị định số 02/2024/NĐ-CР ngày 10 tháng 01 năm 2024 của Chính phủ về việc chuyển giao công trình điện là tài sản công sang Tập đoàn Điện lực Việt Nam./.</w:t>
      </w:r>
    </w:p>
    <w:sectPr w:rsidR="00285714" w:rsidRPr="00AD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53233"/>
    <w:rsid w:val="00067B42"/>
    <w:rsid w:val="00071152"/>
    <w:rsid w:val="00091141"/>
    <w:rsid w:val="00096EEA"/>
    <w:rsid w:val="000A5D9E"/>
    <w:rsid w:val="000D0CD0"/>
    <w:rsid w:val="000D2213"/>
    <w:rsid w:val="00104647"/>
    <w:rsid w:val="00110B34"/>
    <w:rsid w:val="00166196"/>
    <w:rsid w:val="00167EFD"/>
    <w:rsid w:val="0018191E"/>
    <w:rsid w:val="001B4B8B"/>
    <w:rsid w:val="001B740E"/>
    <w:rsid w:val="001D5132"/>
    <w:rsid w:val="001F1A0E"/>
    <w:rsid w:val="002277FA"/>
    <w:rsid w:val="00232DA7"/>
    <w:rsid w:val="00246EC8"/>
    <w:rsid w:val="00250C9A"/>
    <w:rsid w:val="002550F3"/>
    <w:rsid w:val="00256744"/>
    <w:rsid w:val="00262FD3"/>
    <w:rsid w:val="00265B31"/>
    <w:rsid w:val="00273447"/>
    <w:rsid w:val="0027506F"/>
    <w:rsid w:val="00275783"/>
    <w:rsid w:val="00275DC5"/>
    <w:rsid w:val="00285714"/>
    <w:rsid w:val="002C1D8B"/>
    <w:rsid w:val="002C4160"/>
    <w:rsid w:val="002C4A88"/>
    <w:rsid w:val="002D66B5"/>
    <w:rsid w:val="002E1124"/>
    <w:rsid w:val="002E5DFC"/>
    <w:rsid w:val="002F341E"/>
    <w:rsid w:val="00305A91"/>
    <w:rsid w:val="00316245"/>
    <w:rsid w:val="00316562"/>
    <w:rsid w:val="00322E4C"/>
    <w:rsid w:val="00333B2C"/>
    <w:rsid w:val="00336119"/>
    <w:rsid w:val="003364BA"/>
    <w:rsid w:val="00351952"/>
    <w:rsid w:val="00355D06"/>
    <w:rsid w:val="00382215"/>
    <w:rsid w:val="003A0BE9"/>
    <w:rsid w:val="003B0669"/>
    <w:rsid w:val="003C30DD"/>
    <w:rsid w:val="003C6EF0"/>
    <w:rsid w:val="003D27E9"/>
    <w:rsid w:val="003E088B"/>
    <w:rsid w:val="003E30CD"/>
    <w:rsid w:val="00413C05"/>
    <w:rsid w:val="00440797"/>
    <w:rsid w:val="004456C3"/>
    <w:rsid w:val="00471E7A"/>
    <w:rsid w:val="00477114"/>
    <w:rsid w:val="004807A1"/>
    <w:rsid w:val="004850DE"/>
    <w:rsid w:val="00492EF1"/>
    <w:rsid w:val="004A0A65"/>
    <w:rsid w:val="004C26E6"/>
    <w:rsid w:val="004C6531"/>
    <w:rsid w:val="004D26C8"/>
    <w:rsid w:val="004D5A6C"/>
    <w:rsid w:val="004F582A"/>
    <w:rsid w:val="00527EC1"/>
    <w:rsid w:val="00532F42"/>
    <w:rsid w:val="00535041"/>
    <w:rsid w:val="00541507"/>
    <w:rsid w:val="005469FF"/>
    <w:rsid w:val="005A7911"/>
    <w:rsid w:val="005B02CE"/>
    <w:rsid w:val="005B3A16"/>
    <w:rsid w:val="005B3AE8"/>
    <w:rsid w:val="005C32D5"/>
    <w:rsid w:val="005C5A4A"/>
    <w:rsid w:val="005D00C3"/>
    <w:rsid w:val="005D28CE"/>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96BE1"/>
    <w:rsid w:val="007B7B31"/>
    <w:rsid w:val="007C78D9"/>
    <w:rsid w:val="007E51E3"/>
    <w:rsid w:val="007F6C63"/>
    <w:rsid w:val="00800EDE"/>
    <w:rsid w:val="0080146D"/>
    <w:rsid w:val="00803D35"/>
    <w:rsid w:val="0081515A"/>
    <w:rsid w:val="00845101"/>
    <w:rsid w:val="008632DF"/>
    <w:rsid w:val="00870846"/>
    <w:rsid w:val="00876980"/>
    <w:rsid w:val="008942A7"/>
    <w:rsid w:val="008A2AB4"/>
    <w:rsid w:val="008B433E"/>
    <w:rsid w:val="008C66CB"/>
    <w:rsid w:val="008D0297"/>
    <w:rsid w:val="008D6834"/>
    <w:rsid w:val="008E5CBE"/>
    <w:rsid w:val="00900856"/>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5371"/>
    <w:rsid w:val="00AD65D6"/>
    <w:rsid w:val="00AF4634"/>
    <w:rsid w:val="00B039A7"/>
    <w:rsid w:val="00B54F82"/>
    <w:rsid w:val="00B624D8"/>
    <w:rsid w:val="00B813BD"/>
    <w:rsid w:val="00B94B66"/>
    <w:rsid w:val="00BB15CC"/>
    <w:rsid w:val="00BD435A"/>
    <w:rsid w:val="00C03CAC"/>
    <w:rsid w:val="00C050EF"/>
    <w:rsid w:val="00C23AD2"/>
    <w:rsid w:val="00C268E1"/>
    <w:rsid w:val="00C47F91"/>
    <w:rsid w:val="00C65BA0"/>
    <w:rsid w:val="00C66ACA"/>
    <w:rsid w:val="00C711EF"/>
    <w:rsid w:val="00C71332"/>
    <w:rsid w:val="00C76036"/>
    <w:rsid w:val="00C93D13"/>
    <w:rsid w:val="00C9430E"/>
    <w:rsid w:val="00CA3369"/>
    <w:rsid w:val="00CB4313"/>
    <w:rsid w:val="00CE4453"/>
    <w:rsid w:val="00CE5F9D"/>
    <w:rsid w:val="00CE665F"/>
    <w:rsid w:val="00D138E0"/>
    <w:rsid w:val="00D17337"/>
    <w:rsid w:val="00D402E1"/>
    <w:rsid w:val="00D56FD4"/>
    <w:rsid w:val="00D70367"/>
    <w:rsid w:val="00DB3002"/>
    <w:rsid w:val="00DD2CD9"/>
    <w:rsid w:val="00DD3FC2"/>
    <w:rsid w:val="00DF61CE"/>
    <w:rsid w:val="00DF7C63"/>
    <w:rsid w:val="00E02E09"/>
    <w:rsid w:val="00E679E3"/>
    <w:rsid w:val="00E82F89"/>
    <w:rsid w:val="00E83D49"/>
    <w:rsid w:val="00E8550E"/>
    <w:rsid w:val="00E919A8"/>
    <w:rsid w:val="00EB66C3"/>
    <w:rsid w:val="00EC1395"/>
    <w:rsid w:val="00EC391A"/>
    <w:rsid w:val="00EE039E"/>
    <w:rsid w:val="00EE60D2"/>
    <w:rsid w:val="00F23D54"/>
    <w:rsid w:val="00F35BDE"/>
    <w:rsid w:val="00F921E9"/>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13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C713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QY5UZ4ZQWDMN-1850682920-386</_dlc_DocId>
    <_dlc_DocIdUrl xmlns="df6cab6d-25a5-4a45-89de-f19c5af208b6">
      <Url>https://stc.dongnai.gov.vn/_layouts/15/DocIdRedir.aspx?ID=QY5UZ4ZQWDMN-1850682920-386</Url>
      <Description>QY5UZ4ZQWDMN-1850682920-386</Description>
    </_dlc_DocIdUrl>
  </documentManagement>
</p:properties>
</file>

<file path=customXml/itemProps1.xml><?xml version="1.0" encoding="utf-8"?>
<ds:datastoreItem xmlns:ds="http://schemas.openxmlformats.org/officeDocument/2006/customXml" ds:itemID="{FFB23A91-132F-48EC-8BBB-84648C2753C1}"/>
</file>

<file path=customXml/itemProps2.xml><?xml version="1.0" encoding="utf-8"?>
<ds:datastoreItem xmlns:ds="http://schemas.openxmlformats.org/officeDocument/2006/customXml" ds:itemID="{BAF54D13-BEB2-4CD9-97AE-45B1D4FAC382}"/>
</file>

<file path=customXml/itemProps3.xml><?xml version="1.0" encoding="utf-8"?>
<ds:datastoreItem xmlns:ds="http://schemas.openxmlformats.org/officeDocument/2006/customXml" ds:itemID="{FA57C0C3-876C-4798-B434-32D47CFE084C}"/>
</file>

<file path=customXml/itemProps4.xml><?xml version="1.0" encoding="utf-8"?>
<ds:datastoreItem xmlns:ds="http://schemas.openxmlformats.org/officeDocument/2006/customXml" ds:itemID="{617A1B1D-0742-4562-B58B-A7F7A129F4F1}"/>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Thẩm định, phê duyệt, điều chỉnh, bổ sung Kế hoạch quản lý, khai thác nhà, đất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2025-08-20T16:41:00Z</dcterms:created>
  <dcterms:modified xsi:type="dcterms:W3CDTF">2025-08-20T16:47:00Z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848bb407-f1bb-4bb8-936f-3147870f6716</vt:lpwstr>
  </property>
</Properties>
</file>