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9" w:rsidRPr="002D66B5" w:rsidRDefault="002D66B5" w:rsidP="002D66B5">
      <w:pPr>
        <w:pStyle w:val="NormalWeb"/>
        <w:shd w:val="clear" w:color="auto" w:fill="FFFFFF"/>
        <w:spacing w:before="0" w:beforeAutospacing="0" w:after="0" w:afterAutospacing="0" w:line="234" w:lineRule="atLeast"/>
        <w:ind w:firstLine="709"/>
        <w:rPr>
          <w:b/>
          <w:color w:val="000000"/>
          <w:sz w:val="28"/>
          <w:szCs w:val="28"/>
        </w:rPr>
      </w:pPr>
      <w:r w:rsidRPr="002D66B5">
        <w:rPr>
          <w:b/>
          <w:sz w:val="28"/>
          <w:szCs w:val="28"/>
        </w:rPr>
        <w:t xml:space="preserve">Thủ tục </w:t>
      </w:r>
      <w:bookmarkStart w:id="0" w:name="dieu_50"/>
      <w:r w:rsidRPr="002D66B5">
        <w:rPr>
          <w:b/>
          <w:sz w:val="28"/>
          <w:szCs w:val="28"/>
        </w:rPr>
        <w:t>c</w:t>
      </w:r>
      <w:r w:rsidRPr="002D66B5">
        <w:rPr>
          <w:b/>
          <w:bCs/>
          <w:color w:val="000000"/>
          <w:sz w:val="28"/>
          <w:szCs w:val="28"/>
          <w:lang w:val="vi-VN"/>
        </w:rPr>
        <w:t>hấm dứt hoạt động văn phòng điều hành của nhà đầu tư nước ngoài trong hợp đồng BCC</w:t>
      </w:r>
      <w:bookmarkEnd w:id="0"/>
      <w:r w:rsidRPr="002D66B5">
        <w:rPr>
          <w:b/>
          <w:bCs/>
          <w:color w:val="000000"/>
          <w:sz w:val="28"/>
          <w:szCs w:val="28"/>
        </w:rPr>
        <w:t xml:space="preserve"> </w:t>
      </w:r>
      <w:r w:rsidR="00906FD8" w:rsidRPr="002D66B5">
        <w:rPr>
          <w:b/>
          <w:color w:val="000000" w:themeColor="text1"/>
          <w:sz w:val="28"/>
          <w:szCs w:val="28"/>
        </w:rPr>
        <w:t xml:space="preserve">(mã TTHC: </w:t>
      </w:r>
      <w:r w:rsidRPr="002D66B5">
        <w:rPr>
          <w:b/>
          <w:color w:val="000000"/>
          <w:sz w:val="28"/>
          <w:szCs w:val="28"/>
          <w:shd w:val="clear" w:color="auto" w:fill="FFFFFF"/>
        </w:rPr>
        <w:t>1.009736</w:t>
      </w:r>
      <w:r w:rsidR="00C47F91" w:rsidRPr="002D66B5">
        <w:rPr>
          <w:b/>
          <w:sz w:val="28"/>
          <w:szCs w:val="28"/>
        </w:rPr>
        <w:t xml:space="preserve">) </w:t>
      </w:r>
    </w:p>
    <w:p w:rsidR="007B7B31" w:rsidRDefault="007B7B31" w:rsidP="007B7B31">
      <w:pPr>
        <w:widowControl w:val="0"/>
        <w:spacing w:before="60" w:line="360" w:lineRule="exact"/>
        <w:ind w:firstLine="709"/>
        <w:rPr>
          <w:b/>
          <w:sz w:val="28"/>
          <w:szCs w:val="28"/>
        </w:rPr>
      </w:pPr>
      <w:r>
        <w:rPr>
          <w:b/>
          <w:sz w:val="28"/>
          <w:szCs w:val="28"/>
        </w:rPr>
        <w:t xml:space="preserve">a) Trình tự thực hiện: </w:t>
      </w:r>
    </w:p>
    <w:p w:rsidR="007B7B31" w:rsidRDefault="007B7B31" w:rsidP="007B7B31">
      <w:pPr>
        <w:widowControl w:val="0"/>
        <w:spacing w:before="60" w:line="360" w:lineRule="exact"/>
        <w:ind w:firstLine="851"/>
        <w:rPr>
          <w:color w:val="000000"/>
          <w:sz w:val="28"/>
          <w:szCs w:val="28"/>
          <w:shd w:val="clear" w:color="auto" w:fill="FFFFFF"/>
        </w:rPr>
      </w:pPr>
      <w:r>
        <w:rPr>
          <w:b/>
          <w:sz w:val="28"/>
          <w:szCs w:val="28"/>
        </w:rPr>
        <w:t xml:space="preserve">- </w:t>
      </w:r>
      <w:r>
        <w:rPr>
          <w:sz w:val="28"/>
          <w:szCs w:val="28"/>
        </w:rPr>
        <w:t>Bước 1:</w:t>
      </w:r>
      <w:r>
        <w:rPr>
          <w:b/>
          <w:sz w:val="28"/>
          <w:szCs w:val="28"/>
        </w:rPr>
        <w:t xml:space="preserve"> N</w:t>
      </w:r>
      <w:r>
        <w:rPr>
          <w:color w:val="000000"/>
          <w:sz w:val="28"/>
          <w:szCs w:val="28"/>
          <w:shd w:val="clear" w:color="auto" w:fill="FFFFFF"/>
        </w:rPr>
        <w:t>hà đầu tư nước ngoài gửi hồ sơ thông báo cho Sở Tài chínhnơi đặt văn phòng điều hành.</w:t>
      </w:r>
    </w:p>
    <w:p w:rsidR="007B7B31" w:rsidRDefault="007B7B31" w:rsidP="007B7B31">
      <w:pPr>
        <w:widowControl w:val="0"/>
        <w:spacing w:before="60" w:line="360" w:lineRule="exact"/>
        <w:ind w:firstLine="851"/>
        <w:rPr>
          <w:color w:val="000000"/>
          <w:sz w:val="28"/>
          <w:szCs w:val="28"/>
          <w:shd w:val="clear" w:color="auto" w:fill="FFFFFF"/>
        </w:rPr>
      </w:pPr>
      <w:r>
        <w:rPr>
          <w:color w:val="000000"/>
          <w:sz w:val="28"/>
          <w:szCs w:val="28"/>
          <w:shd w:val="clear" w:color="auto" w:fill="FFFFFF"/>
        </w:rPr>
        <w:t>- Bước 2: Sở Tài chínhquyết định thu hồi Giấy chứng nhận đăng ký hoạt động văn phòng điều hành.</w:t>
      </w:r>
    </w:p>
    <w:p w:rsidR="007B7B31" w:rsidRDefault="007B7B31" w:rsidP="007B7B31">
      <w:pPr>
        <w:widowControl w:val="0"/>
        <w:spacing w:after="120" w:line="360" w:lineRule="exact"/>
        <w:rPr>
          <w:b/>
          <w:sz w:val="28"/>
          <w:szCs w:val="28"/>
        </w:rPr>
      </w:pPr>
      <w:r>
        <w:rPr>
          <w:b/>
          <w:sz w:val="28"/>
          <w:szCs w:val="28"/>
        </w:rPr>
        <w:t>b) Cách thức thực hiện:</w:t>
      </w:r>
    </w:p>
    <w:p w:rsidR="007B7B31" w:rsidRDefault="007B7B31" w:rsidP="007B7B31">
      <w:pPr>
        <w:widowControl w:val="0"/>
        <w:spacing w:after="120" w:line="360" w:lineRule="exact"/>
        <w:rPr>
          <w:sz w:val="28"/>
          <w:szCs w:val="28"/>
        </w:rPr>
      </w:pPr>
      <w:r>
        <w:rPr>
          <w:sz w:val="28"/>
          <w:szCs w:val="28"/>
        </w:rPr>
        <w:t>- Trực tiếp tại trụ sở cơ quan hành chính.</w:t>
      </w:r>
    </w:p>
    <w:p w:rsidR="007B7B31" w:rsidRDefault="007B7B31" w:rsidP="007B7B31">
      <w:pPr>
        <w:widowControl w:val="0"/>
        <w:spacing w:after="120" w:line="360" w:lineRule="exact"/>
        <w:rPr>
          <w:sz w:val="28"/>
          <w:szCs w:val="28"/>
          <w:lang w:val="es-ES"/>
        </w:rPr>
      </w:pPr>
      <w:r>
        <w:rPr>
          <w:sz w:val="28"/>
          <w:szCs w:val="28"/>
        </w:rPr>
        <w:t xml:space="preserve">- Qua dịch vụ bưu chính công ích. </w:t>
      </w:r>
    </w:p>
    <w:p w:rsidR="007B7B31" w:rsidRDefault="007B7B31" w:rsidP="007B7B31">
      <w:pPr>
        <w:widowControl w:val="0"/>
        <w:spacing w:after="120" w:line="360" w:lineRule="exact"/>
        <w:ind w:firstLine="709"/>
        <w:rPr>
          <w:sz w:val="28"/>
          <w:szCs w:val="28"/>
          <w:lang w:val="es-ES"/>
        </w:rPr>
      </w:pPr>
      <w:r>
        <w:rPr>
          <w:b/>
          <w:sz w:val="28"/>
          <w:szCs w:val="28"/>
          <w:lang w:val="es-ES"/>
        </w:rPr>
        <w:t>c) Thành phần hồ sơ</w:t>
      </w:r>
      <w:r>
        <w:rPr>
          <w:sz w:val="28"/>
          <w:szCs w:val="28"/>
          <w:lang w:val="es-ES"/>
        </w:rPr>
        <w:t>:</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Quyết định chấm dứt hoạt động của văn phòng điều hành trong trường hợp văn phòng điều hành chấm dứt hoạt động trước thời hạn;</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Danh sách chủ nợ và số nợ đã thanh toán;</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Danh sách người lao động, quyền và lợi ích của người lao động đã được giải quyết;</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Xác nhận của cơ quan thuế về việc đã hoàn thành nghĩa vụ về thuế;</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Xác nhận của cơ quan bảo hiểm xã hội về việc đã hoàn thành nghĩa vụ về bảo hiểm xã hội;</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Giấy chứng nhận đăng ký hoạt động văn phòng điều hành;</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Bản sao Giấy chứng nhận đăng ký đầu tư;</w:t>
      </w:r>
    </w:p>
    <w:p w:rsidR="007B7B31" w:rsidRDefault="007B7B31" w:rsidP="007B7B31">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Bản sao hợp đồng BCC.</w:t>
      </w:r>
    </w:p>
    <w:p w:rsidR="007B7B31" w:rsidRDefault="007B7B31" w:rsidP="007B7B31">
      <w:pPr>
        <w:widowControl w:val="0"/>
        <w:spacing w:after="120" w:line="360" w:lineRule="exact"/>
        <w:ind w:firstLine="709"/>
        <w:rPr>
          <w:color w:val="000000"/>
          <w:sz w:val="28"/>
          <w:szCs w:val="28"/>
        </w:rPr>
      </w:pPr>
      <w:r>
        <w:rPr>
          <w:b/>
          <w:sz w:val="28"/>
          <w:szCs w:val="28"/>
          <w:lang w:val="de-DE"/>
        </w:rPr>
        <w:t>d) Số lượng hồ sơ</w:t>
      </w:r>
      <w:r>
        <w:rPr>
          <w:sz w:val="28"/>
          <w:szCs w:val="28"/>
          <w:lang w:val="de-DE"/>
        </w:rPr>
        <w:t xml:space="preserve">: </w:t>
      </w:r>
      <w:r>
        <w:rPr>
          <w:color w:val="000000"/>
          <w:sz w:val="28"/>
          <w:szCs w:val="28"/>
        </w:rPr>
        <w:t xml:space="preserve">01 bộ hồ sơ. </w:t>
      </w:r>
    </w:p>
    <w:p w:rsidR="007B7B31" w:rsidRDefault="007B7B31" w:rsidP="007B7B31">
      <w:pPr>
        <w:widowControl w:val="0"/>
        <w:overflowPunct w:val="0"/>
        <w:autoSpaceDE w:val="0"/>
        <w:autoSpaceDN w:val="0"/>
        <w:adjustRightInd w:val="0"/>
        <w:spacing w:after="12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7B7B31" w:rsidRDefault="007B7B31" w:rsidP="007B7B31">
      <w:pPr>
        <w:widowControl w:val="0"/>
        <w:spacing w:after="120" w:line="360" w:lineRule="exact"/>
        <w:ind w:firstLine="709"/>
        <w:rPr>
          <w:color w:val="000000"/>
          <w:sz w:val="28"/>
          <w:szCs w:val="28"/>
          <w:shd w:val="clear" w:color="auto" w:fill="FFFFFF"/>
        </w:rPr>
      </w:pPr>
      <w:r>
        <w:rPr>
          <w:color w:val="000000"/>
          <w:sz w:val="28"/>
          <w:szCs w:val="28"/>
          <w:shd w:val="clear" w:color="auto" w:fill="FFFFFF"/>
        </w:rPr>
        <w:t>Trong thời hạn 07 ngày làm việc kể từ ngày có quyết định chấm dứt hoạt động của văn phòng điều hành, nhà đầu tư nước ngoài gửi hồ sơ thông báo cho Sở Tài chínhnơi đặt văn phòng điều hành.</w:t>
      </w:r>
    </w:p>
    <w:p w:rsidR="007B7B31" w:rsidRDefault="007B7B31" w:rsidP="007B7B31">
      <w:pPr>
        <w:widowControl w:val="0"/>
        <w:spacing w:after="120" w:line="360" w:lineRule="exact"/>
        <w:ind w:firstLine="709"/>
        <w:rPr>
          <w:b/>
          <w:sz w:val="28"/>
          <w:szCs w:val="28"/>
          <w:lang w:val="de-DE"/>
        </w:rPr>
      </w:pPr>
      <w:r>
        <w:rPr>
          <w:color w:val="000000"/>
          <w:sz w:val="28"/>
          <w:szCs w:val="28"/>
          <w:shd w:val="clear" w:color="auto" w:fill="FFFFFF"/>
        </w:rPr>
        <w:t>Trong thời hạn 15 ngày kể từ ngày nhận được hồ sơ, Sở Tài chínhquyết định thu hồi Giấy chứng nhận đăng ký hoạt động văn phòng điều hành.</w:t>
      </w:r>
    </w:p>
    <w:p w:rsidR="007B7B31" w:rsidRDefault="007B7B31" w:rsidP="007B7B31">
      <w:pPr>
        <w:widowControl w:val="0"/>
        <w:spacing w:after="120" w:line="360" w:lineRule="exact"/>
        <w:ind w:firstLine="709"/>
        <w:rPr>
          <w:sz w:val="28"/>
          <w:szCs w:val="28"/>
          <w:lang w:val="de-DE"/>
        </w:rPr>
      </w:pPr>
      <w:r>
        <w:rPr>
          <w:b/>
          <w:sz w:val="28"/>
          <w:szCs w:val="28"/>
          <w:lang w:val="de-DE"/>
        </w:rPr>
        <w:t>e) Cơ quan thực hiện</w:t>
      </w:r>
      <w:r>
        <w:rPr>
          <w:sz w:val="28"/>
          <w:szCs w:val="28"/>
          <w:lang w:val="de-DE"/>
        </w:rPr>
        <w:t>:</w:t>
      </w:r>
    </w:p>
    <w:p w:rsidR="007B7B31" w:rsidRDefault="007B7B31" w:rsidP="007B7B31">
      <w:pPr>
        <w:widowControl w:val="0"/>
        <w:spacing w:before="60" w:line="360" w:lineRule="exact"/>
        <w:ind w:firstLine="709"/>
        <w:rPr>
          <w:color w:val="000000"/>
          <w:sz w:val="28"/>
          <w:szCs w:val="28"/>
          <w:shd w:val="clear" w:color="auto" w:fill="FFFFFF"/>
        </w:rPr>
      </w:pPr>
      <w:r>
        <w:rPr>
          <w:color w:val="000000"/>
          <w:sz w:val="28"/>
          <w:szCs w:val="28"/>
          <w:shd w:val="clear" w:color="auto" w:fill="FFFFFF"/>
        </w:rPr>
        <w:lastRenderedPageBreak/>
        <w:t>Sở Tài chínhquyết định thu hồi Giấy chứng nhận đăng ký hoạt động văn phòng điều hành</w:t>
      </w:r>
      <w:r>
        <w:rPr>
          <w:color w:val="000000"/>
          <w:sz w:val="28"/>
          <w:szCs w:val="28"/>
        </w:rPr>
        <w:t>.</w:t>
      </w:r>
    </w:p>
    <w:p w:rsidR="007B7B31" w:rsidRDefault="007B7B31" w:rsidP="007B7B31">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7B7B31" w:rsidRDefault="007B7B31" w:rsidP="007B7B31">
      <w:pPr>
        <w:spacing w:after="120" w:line="340" w:lineRule="exact"/>
        <w:ind w:firstLine="709"/>
        <w:rPr>
          <w:sz w:val="28"/>
          <w:szCs w:val="28"/>
          <w:lang w:val="sv-SE"/>
        </w:rPr>
      </w:pPr>
      <w:r>
        <w:rPr>
          <w:sz w:val="28"/>
          <w:szCs w:val="28"/>
          <w:lang w:val="sv-SE"/>
        </w:rPr>
        <w:t>- Nhà đầu tư nước ngoài.</w:t>
      </w:r>
    </w:p>
    <w:p w:rsidR="007B7B31" w:rsidRDefault="007B7B31" w:rsidP="007B7B31">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7B7B31" w:rsidRDefault="007B7B31" w:rsidP="007B7B31">
      <w:pPr>
        <w:widowControl w:val="0"/>
        <w:spacing w:before="60" w:line="360" w:lineRule="exact"/>
        <w:ind w:firstLine="709"/>
        <w:rPr>
          <w:sz w:val="28"/>
          <w:szCs w:val="28"/>
          <w:lang w:val="de-DE"/>
        </w:rPr>
      </w:pPr>
      <w:r>
        <w:rPr>
          <w:color w:val="000000"/>
          <w:sz w:val="28"/>
          <w:szCs w:val="28"/>
          <w:shd w:val="clear" w:color="auto" w:fill="FFFFFF"/>
        </w:rPr>
        <w:t>Văn bản quyết định thu hồi Giấy chứng nhận đăng ký hoạt động của văn phòng điều hành theo Mẫu A.II.13</w:t>
      </w:r>
      <w:r>
        <w:rPr>
          <w:spacing w:val="-6"/>
          <w:sz w:val="28"/>
          <w:szCs w:val="28"/>
        </w:rPr>
        <w:t xml:space="preserve"> </w:t>
      </w:r>
      <w:r>
        <w:rPr>
          <w:sz w:val="28"/>
          <w:szCs w:val="28"/>
        </w:rPr>
        <w:t xml:space="preserve">ban hành kèm theo </w:t>
      </w:r>
      <w:r>
        <w:rPr>
          <w:sz w:val="28"/>
          <w:szCs w:val="28"/>
          <w:lang w:val="sv-SE"/>
        </w:rPr>
        <w:t>Thông tư số 03/2021/TT-BKHĐT</w:t>
      </w:r>
      <w:r>
        <w:rPr>
          <w:sz w:val="28"/>
          <w:szCs w:val="28"/>
        </w:rPr>
        <w:t>.</w:t>
      </w:r>
    </w:p>
    <w:p w:rsidR="007B7B31" w:rsidRDefault="007B7B31" w:rsidP="007B7B31">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7B7B31" w:rsidRDefault="007B7B31" w:rsidP="007B7B31">
      <w:pPr>
        <w:widowControl w:val="0"/>
        <w:spacing w:before="60" w:line="360" w:lineRule="exact"/>
        <w:ind w:firstLine="709"/>
        <w:rPr>
          <w:bCs/>
          <w:i/>
          <w:sz w:val="28"/>
          <w:szCs w:val="28"/>
          <w:lang w:val="de-DE"/>
        </w:rPr>
      </w:pPr>
      <w:r>
        <w:rPr>
          <w:b/>
          <w:sz w:val="28"/>
          <w:szCs w:val="28"/>
          <w:lang w:val="de-DE"/>
        </w:rPr>
        <w:t>k) Tên mẫu đơn, mẫu tờ khai:</w:t>
      </w:r>
    </w:p>
    <w:p w:rsidR="007B7B31" w:rsidRDefault="007B7B31" w:rsidP="007B7B31">
      <w:pPr>
        <w:widowControl w:val="0"/>
        <w:spacing w:before="60" w:line="360" w:lineRule="exact"/>
        <w:ind w:firstLine="709"/>
        <w:rPr>
          <w:bCs/>
          <w:i/>
          <w:sz w:val="28"/>
          <w:szCs w:val="28"/>
          <w:lang w:val="de-DE"/>
        </w:rPr>
      </w:pPr>
      <w:r>
        <w:rPr>
          <w:color w:val="000000"/>
          <w:sz w:val="28"/>
          <w:szCs w:val="28"/>
          <w:shd w:val="clear" w:color="auto" w:fill="FFFFFF"/>
        </w:rPr>
        <w:t xml:space="preserve">Văn bản thông báo chấm dứt văn phòng điều hành của nhà đầu tư nước ngoài trong hợp đồng hợp tác kinh doanh </w:t>
      </w:r>
      <w:r>
        <w:rPr>
          <w:sz w:val="28"/>
          <w:szCs w:val="28"/>
          <w:lang w:val="sv-SE"/>
        </w:rPr>
        <w:t xml:space="preserve">theo </w:t>
      </w:r>
      <w:r>
        <w:rPr>
          <w:sz w:val="28"/>
          <w:szCs w:val="28"/>
        </w:rPr>
        <w:t>Mẫu</w:t>
      </w:r>
      <w:r>
        <w:rPr>
          <w:color w:val="000000"/>
          <w:sz w:val="28"/>
          <w:szCs w:val="28"/>
          <w:shd w:val="clear" w:color="auto" w:fill="FFFFFF"/>
        </w:rPr>
        <w:t xml:space="preserve"> A.I.10 </w:t>
      </w:r>
      <w:r>
        <w:rPr>
          <w:sz w:val="28"/>
          <w:szCs w:val="28"/>
        </w:rPr>
        <w:t xml:space="preserve">ban hành kèm theo </w:t>
      </w:r>
      <w:r>
        <w:rPr>
          <w:sz w:val="28"/>
          <w:szCs w:val="28"/>
          <w:lang w:val="sv-SE"/>
        </w:rPr>
        <w:t>Thông tư số 03/2021/TT-BKHĐT.</w:t>
      </w:r>
    </w:p>
    <w:p w:rsidR="007B7B31" w:rsidRDefault="007B7B31" w:rsidP="007B7B31">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p>
    <w:p w:rsidR="007B7B31" w:rsidRDefault="007B7B31" w:rsidP="007B7B31">
      <w:pPr>
        <w:widowControl w:val="0"/>
        <w:spacing w:before="60" w:line="360" w:lineRule="exact"/>
        <w:ind w:firstLine="709"/>
        <w:rPr>
          <w:color w:val="000000"/>
          <w:sz w:val="28"/>
          <w:szCs w:val="28"/>
          <w:shd w:val="clear" w:color="auto" w:fill="FFFFFF"/>
        </w:rPr>
      </w:pPr>
      <w:r>
        <w:rPr>
          <w:color w:val="000000"/>
          <w:sz w:val="28"/>
          <w:szCs w:val="28"/>
          <w:shd w:val="clear" w:color="auto" w:fill="FFFFFF"/>
        </w:rPr>
        <w:t>Nhà đầu tư nước ngoài có yêu cầu chấm dứt văn phòng điều hành.</w:t>
      </w:r>
    </w:p>
    <w:p w:rsidR="007B7B31" w:rsidRDefault="007B7B31" w:rsidP="007B7B31">
      <w:pPr>
        <w:widowControl w:val="0"/>
        <w:spacing w:before="60" w:line="360" w:lineRule="exact"/>
        <w:ind w:firstLine="709"/>
        <w:rPr>
          <w:sz w:val="28"/>
          <w:szCs w:val="28"/>
          <w:lang w:val="de-DE"/>
        </w:rPr>
      </w:pPr>
      <w:r>
        <w:rPr>
          <w:b/>
          <w:sz w:val="28"/>
          <w:szCs w:val="28"/>
          <w:lang w:val="de-DE"/>
        </w:rPr>
        <w:t>m) Căn cứ pháp lý của thủ tục hành chính</w:t>
      </w:r>
      <w:r>
        <w:rPr>
          <w:sz w:val="28"/>
          <w:szCs w:val="28"/>
          <w:lang w:val="de-DE"/>
        </w:rPr>
        <w:t>:</w:t>
      </w:r>
    </w:p>
    <w:p w:rsidR="007B7B31" w:rsidRDefault="007B7B31" w:rsidP="007B7B31">
      <w:pPr>
        <w:widowControl w:val="0"/>
        <w:spacing w:before="60" w:line="360" w:lineRule="exact"/>
        <w:ind w:firstLine="709"/>
        <w:rPr>
          <w:sz w:val="28"/>
          <w:szCs w:val="28"/>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7B7B31" w:rsidRDefault="007B7B31" w:rsidP="007B7B31">
      <w:pPr>
        <w:widowControl w:val="0"/>
        <w:spacing w:before="60" w:line="360" w:lineRule="exact"/>
        <w:ind w:firstLine="709"/>
        <w:rPr>
          <w:sz w:val="28"/>
          <w:szCs w:val="28"/>
          <w:lang w:val="sv-SE"/>
        </w:rPr>
      </w:pPr>
      <w:r>
        <w:rPr>
          <w:sz w:val="28"/>
          <w:szCs w:val="28"/>
          <w:lang w:val="vi-VN"/>
        </w:rPr>
        <w:t xml:space="preserve">- </w:t>
      </w:r>
      <w:r>
        <w:rPr>
          <w:sz w:val="28"/>
          <w:szCs w:val="28"/>
          <w:lang w:val="sv-SE"/>
        </w:rPr>
        <w:t>Thông tư số 03/2021/TT-BKHĐT ngày 09/4/2021.</w:t>
      </w:r>
    </w:p>
    <w:p w:rsidR="00663A31" w:rsidRPr="00E83D49" w:rsidRDefault="00663A31" w:rsidP="007B7B31">
      <w:pPr>
        <w:widowControl w:val="0"/>
        <w:spacing w:before="60" w:line="360" w:lineRule="exact"/>
        <w:ind w:firstLine="851"/>
      </w:pPr>
      <w:bookmarkStart w:id="1" w:name="_GoBack"/>
      <w:bookmarkEnd w:id="1"/>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46EC8"/>
    <w:rsid w:val="00250C9A"/>
    <w:rsid w:val="002550F3"/>
    <w:rsid w:val="00256744"/>
    <w:rsid w:val="00262FD3"/>
    <w:rsid w:val="00265B31"/>
    <w:rsid w:val="00273447"/>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D00C3"/>
    <w:rsid w:val="005F4E2E"/>
    <w:rsid w:val="0060782E"/>
    <w:rsid w:val="00607BFA"/>
    <w:rsid w:val="00663A31"/>
    <w:rsid w:val="006A0E29"/>
    <w:rsid w:val="006C6969"/>
    <w:rsid w:val="006D4506"/>
    <w:rsid w:val="007049E2"/>
    <w:rsid w:val="007125F5"/>
    <w:rsid w:val="0072331C"/>
    <w:rsid w:val="00785E29"/>
    <w:rsid w:val="007B7B31"/>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40CA4"/>
    <w:rsid w:val="00A46F60"/>
    <w:rsid w:val="00A802E4"/>
    <w:rsid w:val="00A81BBD"/>
    <w:rsid w:val="00AC0DCB"/>
    <w:rsid w:val="00AD3497"/>
    <w:rsid w:val="00AD65D6"/>
    <w:rsid w:val="00AF4634"/>
    <w:rsid w:val="00B039A7"/>
    <w:rsid w:val="00B54F82"/>
    <w:rsid w:val="00B624D8"/>
    <w:rsid w:val="00B813BD"/>
    <w:rsid w:val="00BB15CC"/>
    <w:rsid w:val="00BD435A"/>
    <w:rsid w:val="00C03CAC"/>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QY5UZ4ZQWDMN-1850682920-369</_dlc_DocId>
    <_dlc_DocIdUrl xmlns="df6cab6d-25a5-4a45-89de-f19c5af208b6">
      <Url>https://stc.dongnai.gov.vn/_layouts/15/DocIdRedir.aspx?ID=QY5UZ4ZQWDMN-1850682920-369</Url>
      <Description>QY5UZ4ZQWDMN-1850682920-369</Description>
    </_dlc_DocIdUrl>
  </documentManagement>
</p:properties>
</file>

<file path=customXml/itemProps1.xml><?xml version="1.0" encoding="utf-8"?>
<ds:datastoreItem xmlns:ds="http://schemas.openxmlformats.org/officeDocument/2006/customXml" ds:itemID="{A30C6050-1708-4C41-9CD1-D60C984C67AF}"/>
</file>

<file path=customXml/itemProps2.xml><?xml version="1.0" encoding="utf-8"?>
<ds:datastoreItem xmlns:ds="http://schemas.openxmlformats.org/officeDocument/2006/customXml" ds:itemID="{06173425-9353-4790-AB4B-BEC0F9731DCA}"/>
</file>

<file path=customXml/itemProps3.xml><?xml version="1.0" encoding="utf-8"?>
<ds:datastoreItem xmlns:ds="http://schemas.openxmlformats.org/officeDocument/2006/customXml" ds:itemID="{351E0A9E-1676-417F-8398-A751993D5671}"/>
</file>

<file path=customXml/itemProps4.xml><?xml version="1.0" encoding="utf-8"?>
<ds:datastoreItem xmlns:ds="http://schemas.openxmlformats.org/officeDocument/2006/customXml" ds:itemID="{A4AEF899-4849-4C64-A6AD-793E0A286D86}"/>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2025-08-20T15:39:00Z</dcterms:created>
  <dcterms:modified xsi:type="dcterms:W3CDTF">2025-08-20T15:39:00Z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e5536483-01f0-4623-829e-7709fb85f806</vt:lpwstr>
  </property>
</Properties>
</file>