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FC2A48" w:rsidRDefault="00316245" w:rsidP="00316245">
      <w:pPr>
        <w:shd w:val="clear" w:color="auto" w:fill="FFFFFF"/>
        <w:spacing w:after="120" w:line="360" w:lineRule="exact"/>
        <w:rPr>
          <w:b/>
          <w:iCs/>
          <w:sz w:val="28"/>
          <w:szCs w:val="28"/>
        </w:rPr>
      </w:pPr>
      <w:r>
        <w:rPr>
          <w:b/>
          <w:iCs/>
          <w:sz w:val="28"/>
          <w:szCs w:val="28"/>
          <w:lang w:val="de-DE"/>
        </w:rPr>
        <w:t>Thủ tục đ</w:t>
      </w:r>
      <w:r>
        <w:rPr>
          <w:b/>
          <w:iCs/>
          <w:sz w:val="28"/>
          <w:szCs w:val="28"/>
          <w:lang w:val="vi-VN"/>
        </w:rPr>
        <w:t xml:space="preserve">iều chỉnh dự án đầu tư trong trường hợp nhà đầu tư nhận chuyển nhượng dự án đầu tư là tài sản bảo đảm </w:t>
      </w:r>
      <w:r>
        <w:rPr>
          <w:b/>
          <w:iCs/>
          <w:sz w:val="28"/>
          <w:szCs w:val="28"/>
        </w:rPr>
        <w:t>đối với dự án thuộc thẩm quyền chấp thuận chủ trương đầu tư của UBND cấp tỉnh</w:t>
      </w:r>
      <w:r w:rsidR="00BB15CC">
        <w:rPr>
          <w:b/>
          <w:bCs/>
          <w:iCs/>
          <w:sz w:val="28"/>
          <w:szCs w:val="28"/>
          <w:lang w:val="sv-SE"/>
        </w:rPr>
        <w:t xml:space="preserve"> </w:t>
      </w:r>
      <w:r w:rsidR="00E83D49" w:rsidRPr="00316245">
        <w:rPr>
          <w:b/>
          <w:color w:val="000000" w:themeColor="text1"/>
          <w:sz w:val="28"/>
          <w:szCs w:val="28"/>
        </w:rPr>
        <w:t xml:space="preserve">(mã TTHC: </w:t>
      </w:r>
      <w:r w:rsidRPr="00316245">
        <w:rPr>
          <w:b/>
          <w:color w:val="000000"/>
          <w:sz w:val="28"/>
          <w:szCs w:val="28"/>
          <w:shd w:val="clear" w:color="auto" w:fill="FFFFFF"/>
        </w:rPr>
        <w:t>1.009650</w:t>
      </w:r>
      <w:r w:rsidR="00E83D49" w:rsidRPr="00316245">
        <w:rPr>
          <w:rStyle w:val="fontstyle01"/>
          <w:b/>
          <w:color w:val="000000" w:themeColor="text1"/>
        </w:rPr>
        <w:t>)</w:t>
      </w:r>
    </w:p>
    <w:p w:rsidR="00960BD3" w:rsidRDefault="00960BD3" w:rsidP="00960BD3">
      <w:pPr>
        <w:widowControl w:val="0"/>
        <w:spacing w:before="60" w:line="360" w:lineRule="exact"/>
        <w:ind w:firstLine="567"/>
        <w:rPr>
          <w:b/>
          <w:sz w:val="28"/>
          <w:szCs w:val="28"/>
        </w:rPr>
      </w:pPr>
      <w:r>
        <w:rPr>
          <w:b/>
          <w:sz w:val="28"/>
          <w:szCs w:val="28"/>
        </w:rPr>
        <w:t>a) Trình tự thực hiện:</w:t>
      </w:r>
    </w:p>
    <w:p w:rsidR="00960BD3" w:rsidRDefault="00960BD3" w:rsidP="00960BD3">
      <w:pPr>
        <w:widowControl w:val="0"/>
        <w:spacing w:before="60" w:line="360" w:lineRule="exact"/>
        <w:ind w:firstLine="567"/>
        <w:rPr>
          <w:sz w:val="28"/>
          <w:szCs w:val="28"/>
        </w:rPr>
      </w:pPr>
      <w:r>
        <w:rPr>
          <w:sz w:val="28"/>
          <w:szCs w:val="28"/>
        </w:rPr>
        <w:t>- Bước 1: Bên nhận bảo đảm hoặc nhà đầu tư nhận chuyển nhượng dự án đầu tư nộp hồ sơ theo quy định tại khoản 3 Điều 49 Nghị định số 31/2021/NĐ-CP cho Sở Kế hoạch và Đầu tư</w:t>
      </w:r>
      <w:r>
        <w:rPr>
          <w:rFonts w:eastAsiaTheme="minorHAnsi"/>
          <w:sz w:val="28"/>
          <w:szCs w:val="28"/>
          <w:lang w:val="sv-SE"/>
        </w:rPr>
        <w:t>.</w:t>
      </w:r>
    </w:p>
    <w:p w:rsidR="00960BD3" w:rsidRDefault="00960BD3" w:rsidP="00960BD3">
      <w:pPr>
        <w:spacing w:after="120" w:line="360" w:lineRule="exact"/>
        <w:ind w:firstLine="540"/>
        <w:rPr>
          <w:rFonts w:eastAsiaTheme="minorHAnsi"/>
          <w:sz w:val="28"/>
          <w:szCs w:val="28"/>
          <w:lang w:val="sv-SE"/>
        </w:rPr>
      </w:pPr>
      <w:r>
        <w:rPr>
          <w:rFonts w:eastAsiaTheme="minorHAnsi"/>
          <w:sz w:val="28"/>
          <w:szCs w:val="28"/>
          <w:lang w:val="sv-SE"/>
        </w:rPr>
        <w:t>- Bước 2: </w:t>
      </w:r>
      <w:r>
        <w:rPr>
          <w:sz w:val="28"/>
          <w:szCs w:val="28"/>
        </w:rPr>
        <w:t>Sở Tài chính</w:t>
      </w:r>
      <w:r>
        <w:rPr>
          <w:rFonts w:eastAsiaTheme="minorHAnsi"/>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960BD3" w:rsidRDefault="00960BD3" w:rsidP="00960BD3">
      <w:pPr>
        <w:spacing w:after="120" w:line="360" w:lineRule="exact"/>
        <w:ind w:firstLine="540"/>
        <w:rPr>
          <w:rFonts w:eastAsiaTheme="minorHAnsi"/>
          <w:sz w:val="28"/>
          <w:szCs w:val="28"/>
          <w:lang w:val="sv-SE"/>
        </w:rPr>
      </w:pPr>
      <w:r>
        <w:rPr>
          <w:rFonts w:eastAsiaTheme="minorHAnsi"/>
          <w:sz w:val="28"/>
          <w:szCs w:val="28"/>
          <w:lang w:val="sv-SE"/>
        </w:rPr>
        <w:t xml:space="preserve">- Bước 3: Các cơ quan được lấy ý kiến có ý kiến về nội dung điều chỉnh dự án thuộc phạm vi quản lý nhà nước của cơ quan đó. </w:t>
      </w:r>
    </w:p>
    <w:p w:rsidR="00960BD3" w:rsidRDefault="00960BD3" w:rsidP="00960BD3">
      <w:pPr>
        <w:spacing w:after="120" w:line="360" w:lineRule="exact"/>
        <w:ind w:firstLine="540"/>
        <w:rPr>
          <w:rFonts w:eastAsiaTheme="minorHAnsi"/>
          <w:sz w:val="28"/>
          <w:szCs w:val="28"/>
          <w:lang w:val="sv-SE"/>
        </w:rPr>
      </w:pPr>
      <w:r>
        <w:rPr>
          <w:rFonts w:eastAsiaTheme="minorHAnsi"/>
          <w:sz w:val="28"/>
          <w:szCs w:val="28"/>
          <w:lang w:val="sv-SE"/>
        </w:rPr>
        <w:t xml:space="preserve">- Bước 4: </w:t>
      </w:r>
      <w:r>
        <w:rPr>
          <w:sz w:val="28"/>
          <w:szCs w:val="28"/>
        </w:rPr>
        <w:t>Sở Tài chính</w:t>
      </w:r>
      <w:r>
        <w:rPr>
          <w:rFonts w:eastAsiaTheme="minorHAnsi"/>
          <w:sz w:val="28"/>
          <w:szCs w:val="28"/>
          <w:lang w:val="sv-SE"/>
        </w:rPr>
        <w:t>lập báo cáo thẩm định các nội dung điều chỉnh dự án đầu tư để trình Ủy ban nhân dân cấp tỉnh;</w:t>
      </w:r>
    </w:p>
    <w:p w:rsidR="00960BD3" w:rsidRDefault="00960BD3" w:rsidP="00960BD3">
      <w:pPr>
        <w:spacing w:after="120" w:line="360" w:lineRule="exact"/>
        <w:ind w:firstLine="540"/>
        <w:rPr>
          <w:rFonts w:eastAsiaTheme="minorHAnsi"/>
          <w:sz w:val="28"/>
          <w:szCs w:val="28"/>
          <w:lang w:val="sv-SE"/>
        </w:rPr>
      </w:pPr>
      <w:r>
        <w:rPr>
          <w:rFonts w:eastAsiaTheme="minorHAnsi"/>
          <w:sz w:val="28"/>
          <w:szCs w:val="28"/>
          <w:lang w:val="sv-SE"/>
        </w:rPr>
        <w:t xml:space="preserve">- Bước 5: Ủy ban nhân dân cấp tỉnh quyết định chấp thuận điều chỉnh chủ trương đầu tư. </w:t>
      </w:r>
    </w:p>
    <w:p w:rsidR="00960BD3" w:rsidRDefault="00960BD3" w:rsidP="00960BD3">
      <w:pPr>
        <w:widowControl w:val="0"/>
        <w:spacing w:line="249" w:lineRule="auto"/>
        <w:ind w:firstLine="540"/>
        <w:rPr>
          <w:bCs/>
          <w:sz w:val="28"/>
          <w:szCs w:val="28"/>
          <w:lang w:val="vi-VN"/>
        </w:rPr>
      </w:pPr>
      <w:r>
        <w:rPr>
          <w:sz w:val="28"/>
          <w:szCs w:val="28"/>
          <w:shd w:val="clear" w:color="auto" w:fill="FFFFFF"/>
        </w:rPr>
        <w:t xml:space="preserve">* </w:t>
      </w:r>
      <w:r>
        <w:rPr>
          <w:sz w:val="28"/>
          <w:szCs w:val="28"/>
          <w:shd w:val="clear" w:color="auto" w:fill="FFFFFF"/>
          <w:lang w:val="vi-VN"/>
        </w:rPr>
        <w:t>Đối với dự án đầu tư đã được chấp thuận chủ trương đầu tư</w:t>
      </w:r>
      <w:r>
        <w:rPr>
          <w:sz w:val="28"/>
          <w:szCs w:val="28"/>
          <w:shd w:val="clear" w:color="auto" w:fill="FFFFFF"/>
        </w:rPr>
        <w:t xml:space="preserve"> và </w:t>
      </w:r>
      <w:r>
        <w:rPr>
          <w:sz w:val="28"/>
          <w:szCs w:val="28"/>
          <w:shd w:val="clear" w:color="auto" w:fill="FFFFFF"/>
          <w:lang w:val="vi-VN"/>
        </w:rPr>
        <w:t>đã đưa dự án vào khai thác, vận hành thì không phải thực hiện thủ tục chấp thuận điều chỉnh chủ trương đầu tư khi chuyển nhượng dự án đầu tư.</w:t>
      </w:r>
    </w:p>
    <w:p w:rsidR="00960BD3" w:rsidRDefault="00960BD3" w:rsidP="00960BD3">
      <w:pPr>
        <w:tabs>
          <w:tab w:val="left" w:pos="567"/>
        </w:tabs>
        <w:spacing w:line="340" w:lineRule="exact"/>
        <w:ind w:firstLine="567"/>
        <w:rPr>
          <w:sz w:val="28"/>
          <w:szCs w:val="28"/>
          <w:lang w:val="sv-SE"/>
        </w:rPr>
      </w:pPr>
      <w:r>
        <w:rPr>
          <w:sz w:val="28"/>
          <w:szCs w:val="28"/>
        </w:rPr>
        <w:t xml:space="preserve">* </w:t>
      </w:r>
      <w:r>
        <w:rPr>
          <w:sz w:val="28"/>
          <w:szCs w:val="28"/>
          <w:lang w:val="vi-VN"/>
        </w:rPr>
        <w:t xml:space="preserve">Đối với dự án đầu tư thực hiện trước ngày </w:t>
      </w:r>
      <w:r>
        <w:rPr>
          <w:sz w:val="28"/>
          <w:szCs w:val="28"/>
          <w:lang w:val="sv-SE"/>
        </w:rPr>
        <w:t>Luật Đầu tư có hiệu lực thi hành, thủ tục điều chỉnh dự án thực hiện theo quy định tại Điều 11</w:t>
      </w:r>
      <w:r>
        <w:rPr>
          <w:sz w:val="28"/>
          <w:szCs w:val="28"/>
          <w:lang w:val="vi-VN"/>
        </w:rPr>
        <w:t>7 của Nghị định</w:t>
      </w:r>
      <w:r>
        <w:rPr>
          <w:sz w:val="28"/>
          <w:szCs w:val="28"/>
          <w:lang w:val="sv-SE"/>
        </w:rPr>
        <w:t xml:space="preserve"> số 31/2021/NĐ-CP.</w:t>
      </w:r>
    </w:p>
    <w:p w:rsidR="00960BD3" w:rsidRDefault="00960BD3" w:rsidP="00960BD3">
      <w:pPr>
        <w:widowControl w:val="0"/>
        <w:spacing w:before="60" w:line="360" w:lineRule="exact"/>
        <w:ind w:firstLine="567"/>
        <w:rPr>
          <w:b/>
          <w:sz w:val="28"/>
          <w:szCs w:val="28"/>
        </w:rPr>
      </w:pPr>
      <w:r>
        <w:rPr>
          <w:b/>
          <w:sz w:val="28"/>
          <w:szCs w:val="28"/>
        </w:rPr>
        <w:t>b) Cách thức thực hiện:</w:t>
      </w:r>
    </w:p>
    <w:p w:rsidR="00960BD3" w:rsidRDefault="00960BD3" w:rsidP="00960BD3">
      <w:pPr>
        <w:widowControl w:val="0"/>
        <w:spacing w:after="120" w:line="360" w:lineRule="exact"/>
        <w:rPr>
          <w:color w:val="000000" w:themeColor="text1"/>
          <w:sz w:val="28"/>
          <w:szCs w:val="28"/>
        </w:rPr>
      </w:pPr>
      <w:r>
        <w:rPr>
          <w:color w:val="000000" w:themeColor="text1"/>
          <w:sz w:val="28"/>
          <w:szCs w:val="28"/>
        </w:rPr>
        <w:t>- Nộp hồ sơ trực tiếp tại Trung tâm Phục vụ hành chính công tỉnh.</w:t>
      </w:r>
    </w:p>
    <w:p w:rsidR="00960BD3" w:rsidRDefault="00960BD3" w:rsidP="00960BD3">
      <w:pPr>
        <w:widowControl w:val="0"/>
        <w:spacing w:after="120" w:line="360" w:lineRule="exact"/>
        <w:rPr>
          <w:color w:val="000000" w:themeColor="text1"/>
          <w:sz w:val="28"/>
          <w:szCs w:val="28"/>
        </w:rPr>
      </w:pPr>
      <w:r>
        <w:rPr>
          <w:color w:val="000000" w:themeColor="text1"/>
          <w:sz w:val="28"/>
          <w:szCs w:val="28"/>
        </w:rPr>
        <w:t xml:space="preserve">- Qua dịch vụ bưu chính công ích. </w:t>
      </w:r>
    </w:p>
    <w:p w:rsidR="00960BD3" w:rsidRDefault="00960BD3" w:rsidP="00960BD3">
      <w:pPr>
        <w:widowControl w:val="0"/>
        <w:spacing w:before="60" w:line="360" w:lineRule="exact"/>
        <w:ind w:firstLine="709"/>
        <w:rPr>
          <w:sz w:val="28"/>
          <w:szCs w:val="28"/>
          <w:lang w:val="es-ES"/>
        </w:rPr>
      </w:pPr>
      <w:r>
        <w:rPr>
          <w:b/>
          <w:sz w:val="28"/>
          <w:szCs w:val="28"/>
          <w:lang w:val="es-ES"/>
        </w:rPr>
        <w:t>c) Thành phần hồ sơ</w:t>
      </w:r>
      <w:r>
        <w:rPr>
          <w:sz w:val="28"/>
          <w:szCs w:val="28"/>
          <w:lang w:val="es-ES"/>
        </w:rPr>
        <w:t>:</w:t>
      </w:r>
    </w:p>
    <w:p w:rsidR="00960BD3" w:rsidRDefault="00960BD3" w:rsidP="00960BD3">
      <w:pPr>
        <w:shd w:val="clear" w:color="auto" w:fill="FFFFFF"/>
        <w:spacing w:after="120" w:line="249" w:lineRule="auto"/>
        <w:ind w:firstLine="709"/>
        <w:rPr>
          <w:bCs/>
          <w:sz w:val="28"/>
          <w:szCs w:val="28"/>
          <w:lang w:val="vi-VN"/>
        </w:rPr>
      </w:pPr>
      <w:r>
        <w:rPr>
          <w:bCs/>
          <w:sz w:val="28"/>
          <w:szCs w:val="28"/>
        </w:rPr>
        <w:t>-</w:t>
      </w:r>
      <w:r>
        <w:rPr>
          <w:bCs/>
          <w:sz w:val="28"/>
          <w:szCs w:val="28"/>
          <w:lang w:val="vi-VN"/>
        </w:rPr>
        <w:t xml:space="preserve"> Văn bản đề nghị điều chỉnh dự án đầu tư;</w:t>
      </w:r>
    </w:p>
    <w:p w:rsidR="00960BD3" w:rsidRDefault="00960BD3" w:rsidP="00960BD3">
      <w:pPr>
        <w:shd w:val="clear" w:color="auto" w:fill="FFFFFF"/>
        <w:spacing w:after="120" w:line="249" w:lineRule="auto"/>
        <w:ind w:firstLine="709"/>
        <w:rPr>
          <w:bCs/>
          <w:sz w:val="28"/>
          <w:szCs w:val="28"/>
          <w:lang w:val="vi-VN"/>
        </w:rPr>
      </w:pPr>
      <w:r>
        <w:rPr>
          <w:bCs/>
          <w:sz w:val="28"/>
          <w:szCs w:val="28"/>
        </w:rPr>
        <w:t>-</w:t>
      </w:r>
      <w:r>
        <w:rPr>
          <w:bCs/>
          <w:sz w:val="28"/>
          <w:szCs w:val="28"/>
          <w:lang w:val="vi-VN"/>
        </w:rPr>
        <w:t xml:space="preserve"> Hợp đồng chuyển nhượng dự án đầu tư giữa </w:t>
      </w:r>
      <w:r>
        <w:rPr>
          <w:sz w:val="28"/>
          <w:szCs w:val="28"/>
          <w:shd w:val="clear" w:color="auto" w:fill="FFFFFF"/>
          <w:lang w:val="vi-VN"/>
        </w:rPr>
        <w:t>bên nhận bảo đảm</w:t>
      </w:r>
      <w:r>
        <w:rPr>
          <w:bCs/>
          <w:sz w:val="28"/>
          <w:szCs w:val="28"/>
          <w:lang w:val="vi-VN"/>
        </w:rPr>
        <w:t xml:space="preserve"> và nhà đầu tư nhận chuyển nhượng;</w:t>
      </w:r>
    </w:p>
    <w:p w:rsidR="00960BD3" w:rsidRDefault="00960BD3" w:rsidP="00960BD3">
      <w:pPr>
        <w:shd w:val="clear" w:color="auto" w:fill="FFFFFF"/>
        <w:spacing w:after="120" w:line="249" w:lineRule="auto"/>
        <w:ind w:firstLine="709"/>
        <w:rPr>
          <w:bCs/>
          <w:sz w:val="28"/>
          <w:szCs w:val="28"/>
        </w:rPr>
      </w:pPr>
      <w:r>
        <w:rPr>
          <w:bCs/>
          <w:sz w:val="28"/>
          <w:szCs w:val="28"/>
        </w:rPr>
        <w:t>-</w:t>
      </w:r>
      <w:r>
        <w:rPr>
          <w:bCs/>
          <w:sz w:val="28"/>
          <w:szCs w:val="28"/>
          <w:lang w:val="vi-VN"/>
        </w:rPr>
        <w:t xml:space="preserve"> </w:t>
      </w:r>
      <w:r>
        <w:rPr>
          <w:bCs/>
          <w:sz w:val="28"/>
          <w:szCs w:val="28"/>
        </w:rPr>
        <w:t>Hợp đồng cho vay hoặc hợp đồng cấp tín dụng hoặc hợp đồng mua bán nợ (nếu có);</w:t>
      </w:r>
    </w:p>
    <w:p w:rsidR="00960BD3" w:rsidRDefault="00960BD3" w:rsidP="00960BD3">
      <w:pPr>
        <w:shd w:val="clear" w:color="auto" w:fill="FFFFFF"/>
        <w:spacing w:after="120" w:line="249" w:lineRule="auto"/>
        <w:ind w:firstLine="709"/>
        <w:rPr>
          <w:bCs/>
          <w:sz w:val="28"/>
          <w:szCs w:val="28"/>
        </w:rPr>
      </w:pPr>
      <w:r>
        <w:rPr>
          <w:bCs/>
          <w:sz w:val="28"/>
          <w:szCs w:val="28"/>
        </w:rPr>
        <w:lastRenderedPageBreak/>
        <w:t>- Hợp đồng hoặc văn bản xác nhận giao dịch bảo đảm (nếu có);</w:t>
      </w:r>
    </w:p>
    <w:p w:rsidR="00960BD3" w:rsidRDefault="00960BD3" w:rsidP="00960BD3">
      <w:pPr>
        <w:shd w:val="clear" w:color="auto" w:fill="FFFFFF"/>
        <w:spacing w:after="120" w:line="249" w:lineRule="auto"/>
        <w:ind w:firstLine="709"/>
        <w:rPr>
          <w:bCs/>
          <w:sz w:val="28"/>
          <w:szCs w:val="28"/>
        </w:rPr>
      </w:pPr>
      <w:r>
        <w:rPr>
          <w:bCs/>
          <w:sz w:val="28"/>
          <w:szCs w:val="28"/>
        </w:rPr>
        <w:t>- Văn bản xác nhận trúng đấu giá trong trường hợp bên nhận bảo đảm, cơ quan thi hành án dân sự bán đấu giá tài sản (nếu có);</w:t>
      </w:r>
    </w:p>
    <w:p w:rsidR="00960BD3" w:rsidRDefault="00960BD3" w:rsidP="00960BD3">
      <w:pPr>
        <w:shd w:val="clear" w:color="auto" w:fill="FFFFFF"/>
        <w:spacing w:after="120" w:line="249" w:lineRule="auto"/>
        <w:ind w:firstLine="709"/>
        <w:rPr>
          <w:sz w:val="28"/>
          <w:szCs w:val="28"/>
          <w:shd w:val="clear" w:color="auto" w:fill="FFFFFF"/>
          <w:lang w:val="vi-VN"/>
        </w:rPr>
      </w:pPr>
      <w:r>
        <w:rPr>
          <w:bCs/>
          <w:sz w:val="28"/>
          <w:szCs w:val="28"/>
        </w:rPr>
        <w:t>- Bản sao tài liệu về tư cách pháp lý của nhà đầu tư chuyển nhượng và nhà đầu tư nhận chuyển nhượng</w:t>
      </w:r>
      <w:r>
        <w:rPr>
          <w:sz w:val="28"/>
          <w:szCs w:val="28"/>
          <w:shd w:val="clear" w:color="auto" w:fill="FFFFFF"/>
          <w:lang w:val="vi-VN"/>
        </w:rPr>
        <w:t xml:space="preserve">; </w:t>
      </w:r>
    </w:p>
    <w:p w:rsidR="00960BD3" w:rsidRDefault="00960BD3" w:rsidP="00960BD3">
      <w:pPr>
        <w:shd w:val="clear" w:color="auto" w:fill="FFFFFF"/>
        <w:spacing w:after="120" w:line="249" w:lineRule="auto"/>
        <w:ind w:firstLine="709"/>
        <w:rPr>
          <w:sz w:val="28"/>
          <w:szCs w:val="28"/>
          <w:shd w:val="clear" w:color="auto" w:fill="FFFFFF"/>
          <w:lang w:val="vi-VN"/>
        </w:rPr>
      </w:pPr>
      <w:r>
        <w:rPr>
          <w:sz w:val="28"/>
          <w:szCs w:val="28"/>
          <w:shd w:val="clear" w:color="auto" w:fill="FFFFFF"/>
        </w:rPr>
        <w:t>-</w:t>
      </w:r>
      <w:r>
        <w:rPr>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960BD3" w:rsidRDefault="00960BD3" w:rsidP="00960BD3">
      <w:pPr>
        <w:shd w:val="clear" w:color="auto" w:fill="FFFFFF"/>
        <w:spacing w:after="120" w:line="249" w:lineRule="auto"/>
        <w:ind w:firstLine="709"/>
        <w:rPr>
          <w:sz w:val="28"/>
          <w:szCs w:val="28"/>
          <w:shd w:val="clear" w:color="auto" w:fill="FFFFFF"/>
          <w:lang w:val="vi-VN"/>
        </w:rPr>
      </w:pPr>
      <w:r>
        <w:rPr>
          <w:sz w:val="28"/>
          <w:szCs w:val="28"/>
          <w:shd w:val="clear" w:color="auto" w:fill="FFFFFF"/>
        </w:rPr>
        <w:t>-</w:t>
      </w:r>
      <w:r>
        <w:rPr>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960BD3" w:rsidRDefault="00960BD3" w:rsidP="00960BD3">
      <w:pPr>
        <w:shd w:val="clear" w:color="auto" w:fill="FFFFFF"/>
        <w:spacing w:after="120" w:line="249" w:lineRule="auto"/>
        <w:ind w:firstLine="709"/>
        <w:rPr>
          <w:bCs/>
          <w:sz w:val="28"/>
          <w:szCs w:val="28"/>
        </w:rPr>
      </w:pPr>
      <w:r>
        <w:rPr>
          <w:sz w:val="28"/>
          <w:szCs w:val="28"/>
          <w:shd w:val="clear" w:color="auto" w:fill="FFFFFF"/>
        </w:rPr>
        <w:t>-</w:t>
      </w:r>
      <w:r>
        <w:rPr>
          <w:sz w:val="28"/>
          <w:szCs w:val="28"/>
          <w:shd w:val="clear" w:color="auto" w:fill="FFFFFF"/>
          <w:lang w:val="vi-VN"/>
        </w:rPr>
        <w:t xml:space="preserve"> Văn bản xác nhận của bên nhận </w:t>
      </w:r>
      <w:r>
        <w:rPr>
          <w:bCs/>
          <w:sz w:val="28"/>
          <w:szCs w:val="28"/>
          <w:lang w:val="vi-VN"/>
        </w:rPr>
        <w:t>bảo đảm về tình trạng pháp lý của tài sản bảo đảm.</w:t>
      </w:r>
    </w:p>
    <w:p w:rsidR="00960BD3" w:rsidRDefault="00960BD3" w:rsidP="00960BD3">
      <w:pPr>
        <w:widowControl w:val="0"/>
        <w:spacing w:before="60" w:line="360" w:lineRule="exact"/>
        <w:ind w:firstLine="709"/>
        <w:rPr>
          <w:sz w:val="28"/>
          <w:szCs w:val="28"/>
        </w:rPr>
      </w:pPr>
      <w:r>
        <w:rPr>
          <w:b/>
          <w:sz w:val="28"/>
          <w:szCs w:val="28"/>
          <w:lang w:val="de-DE"/>
        </w:rPr>
        <w:t>d) Số lượng hồ sơ</w:t>
      </w:r>
      <w:r>
        <w:rPr>
          <w:sz w:val="28"/>
          <w:szCs w:val="28"/>
          <w:lang w:val="de-DE"/>
        </w:rPr>
        <w:t xml:space="preserve">: </w:t>
      </w:r>
      <w:r>
        <w:rPr>
          <w:sz w:val="28"/>
          <w:szCs w:val="28"/>
        </w:rPr>
        <w:t xml:space="preserve">04 bộ hồ sơ. </w:t>
      </w:r>
    </w:p>
    <w:p w:rsidR="00960BD3" w:rsidRDefault="00960BD3" w:rsidP="00960BD3">
      <w:pPr>
        <w:widowControl w:val="0"/>
        <w:overflowPunct w:val="0"/>
        <w:autoSpaceDE w:val="0"/>
        <w:autoSpaceDN w:val="0"/>
        <w:adjustRightInd w:val="0"/>
        <w:spacing w:before="60" w:line="360" w:lineRule="exact"/>
        <w:ind w:firstLine="709"/>
        <w:rPr>
          <w:sz w:val="28"/>
          <w:szCs w:val="28"/>
          <w:lang w:val="de-DE"/>
        </w:rPr>
      </w:pPr>
      <w:r>
        <w:rPr>
          <w:b/>
          <w:sz w:val="28"/>
          <w:szCs w:val="28"/>
          <w:lang w:val="de-DE"/>
        </w:rPr>
        <w:t>đ) Thời hạn giải quyết</w:t>
      </w:r>
      <w:r>
        <w:rPr>
          <w:sz w:val="28"/>
          <w:szCs w:val="28"/>
          <w:lang w:val="de-DE"/>
        </w:rPr>
        <w:t xml:space="preserve">: </w:t>
      </w:r>
    </w:p>
    <w:p w:rsidR="00960BD3" w:rsidRDefault="00960BD3" w:rsidP="00960BD3">
      <w:pPr>
        <w:spacing w:after="120" w:line="360" w:lineRule="exact"/>
        <w:ind w:firstLine="709"/>
        <w:rPr>
          <w:rFonts w:eastAsiaTheme="minorHAnsi"/>
          <w:sz w:val="28"/>
          <w:szCs w:val="28"/>
          <w:lang w:val="sv-SE"/>
        </w:rPr>
      </w:pPr>
      <w:r>
        <w:rPr>
          <w:rFonts w:eastAsiaTheme="minorHAnsi"/>
          <w:sz w:val="28"/>
          <w:szCs w:val="28"/>
          <w:lang w:val="sv-SE"/>
        </w:rPr>
        <w:t>+ Trong thời hạn 03 ngày làm việc kể từ ngày nhận được hồ sơ hợp lệ, Sở Tài chínhgửi hồ sơ cho cơ quan nhà nước có thẩm quyền theo quy định tại điểm b khoản 4 Điều 33 của Nghị định số 31/2021/NĐ-CP để lấy ý kiến về những nội dung điều chỉnh dự án đầu tư.</w:t>
      </w:r>
    </w:p>
    <w:p w:rsidR="00960BD3" w:rsidRDefault="00960BD3" w:rsidP="00960BD3">
      <w:pPr>
        <w:spacing w:after="120" w:line="360" w:lineRule="exact"/>
        <w:ind w:firstLine="709"/>
        <w:rPr>
          <w:rFonts w:eastAsiaTheme="minorHAnsi"/>
          <w:sz w:val="28"/>
          <w:szCs w:val="28"/>
          <w:lang w:val="sv-SE"/>
        </w:rPr>
      </w:pPr>
      <w:r>
        <w:rPr>
          <w:rFonts w:eastAsiaTheme="minorHAnsi"/>
          <w:sz w:val="28"/>
          <w:szCs w:val="28"/>
          <w:lang w:val="sv-SE"/>
        </w:rPr>
        <w:t xml:space="preserve">+ Trong thời hạn 15 ngày kể từ ngày nhận được hồ sơ hợp lệ, các cơ quan được lấy ý kiến có ý kiến về nội dung điều chỉnh dự án thuộc phạm vi quản lý nhà nước của cơ quan đó; </w:t>
      </w:r>
    </w:p>
    <w:p w:rsidR="00960BD3" w:rsidRDefault="00960BD3" w:rsidP="00960BD3">
      <w:pPr>
        <w:spacing w:after="120" w:line="360" w:lineRule="exact"/>
        <w:ind w:firstLine="709"/>
        <w:rPr>
          <w:rFonts w:eastAsiaTheme="minorHAnsi"/>
          <w:sz w:val="28"/>
          <w:szCs w:val="28"/>
          <w:lang w:val="sv-SE"/>
        </w:rPr>
      </w:pPr>
      <w:r>
        <w:rPr>
          <w:rFonts w:eastAsiaTheme="minorHAnsi"/>
          <w:sz w:val="28"/>
          <w:szCs w:val="28"/>
          <w:lang w:val="sv-SE"/>
        </w:rPr>
        <w:t>+ Trong thời hạn 25 ngày kể từ ngày nhận được hồ sơ hợp lệ, Sở Tài chínhlập báo cáo thẩm định các nội dung điều chỉnh dự án đầu tư để trình Ủy ban nhân dân cấp tỉnh;</w:t>
      </w:r>
    </w:p>
    <w:p w:rsidR="00960BD3" w:rsidRDefault="00960BD3" w:rsidP="00960BD3">
      <w:pPr>
        <w:spacing w:after="120" w:line="360" w:lineRule="exact"/>
        <w:ind w:firstLine="709"/>
        <w:rPr>
          <w:rFonts w:eastAsiaTheme="minorHAnsi"/>
          <w:sz w:val="28"/>
          <w:szCs w:val="28"/>
          <w:lang w:val="sv-SE"/>
        </w:rPr>
      </w:pPr>
      <w:r>
        <w:rPr>
          <w:rFonts w:eastAsiaTheme="minorHAnsi"/>
          <w:sz w:val="28"/>
          <w:szCs w:val="28"/>
          <w:lang w:val="sv-SE"/>
        </w:rPr>
        <w:t>+ Trong thời hạn 07 ngày làm việc kể từ ngày nhận được hồ sơ và báo cáo thẩm định của Sở Kế hoạch và Đầu tư, Ủy ban nhân dân cấp tỉnh quyết định chấp thuận điều chỉnh chủ trương đầu tư.</w:t>
      </w:r>
    </w:p>
    <w:p w:rsidR="00960BD3" w:rsidRDefault="00960BD3" w:rsidP="00960BD3">
      <w:pPr>
        <w:widowControl w:val="0"/>
        <w:spacing w:before="60" w:line="360" w:lineRule="exact"/>
        <w:ind w:firstLine="709"/>
        <w:rPr>
          <w:sz w:val="28"/>
          <w:szCs w:val="28"/>
          <w:lang w:val="de-DE"/>
        </w:rPr>
      </w:pPr>
      <w:r>
        <w:rPr>
          <w:b/>
          <w:sz w:val="28"/>
          <w:szCs w:val="28"/>
          <w:lang w:val="de-DE"/>
        </w:rPr>
        <w:t>e) Cơ quan thực hiện</w:t>
      </w:r>
      <w:r>
        <w:rPr>
          <w:sz w:val="28"/>
          <w:szCs w:val="28"/>
          <w:lang w:val="de-DE"/>
        </w:rPr>
        <w:t>:</w:t>
      </w:r>
    </w:p>
    <w:p w:rsidR="00960BD3" w:rsidRDefault="00960BD3" w:rsidP="00960BD3">
      <w:pPr>
        <w:widowControl w:val="0"/>
        <w:shd w:val="clear" w:color="auto" w:fill="FFFFFF"/>
        <w:spacing w:before="60" w:line="360" w:lineRule="exact"/>
        <w:ind w:firstLine="709"/>
        <w:rPr>
          <w:sz w:val="28"/>
          <w:szCs w:val="28"/>
        </w:rPr>
      </w:pPr>
      <w:r>
        <w:rPr>
          <w:sz w:val="28"/>
          <w:szCs w:val="28"/>
        </w:rPr>
        <w:t>- Sở Tài chínhtiếp nhận hồ sơ, lấy ý kiến thẩm định và tổ chức thẩm định;</w:t>
      </w:r>
    </w:p>
    <w:p w:rsidR="00960BD3" w:rsidRDefault="00960BD3" w:rsidP="00960BD3">
      <w:pPr>
        <w:widowControl w:val="0"/>
        <w:shd w:val="clear" w:color="auto" w:fill="FFFFFF"/>
        <w:spacing w:before="60" w:line="360" w:lineRule="exact"/>
        <w:ind w:firstLine="567"/>
        <w:rPr>
          <w:sz w:val="28"/>
          <w:szCs w:val="28"/>
        </w:rPr>
      </w:pPr>
      <w:r>
        <w:rPr>
          <w:sz w:val="28"/>
          <w:szCs w:val="28"/>
        </w:rPr>
        <w:t xml:space="preserve">- </w:t>
      </w:r>
      <w:r>
        <w:rPr>
          <w:rFonts w:eastAsiaTheme="minorHAnsi"/>
          <w:sz w:val="28"/>
          <w:szCs w:val="28"/>
          <w:lang w:val="sv-SE"/>
        </w:rPr>
        <w:t xml:space="preserve">Ủy ban nhân dân cấp tỉnh </w:t>
      </w:r>
      <w:r>
        <w:rPr>
          <w:sz w:val="28"/>
          <w:szCs w:val="28"/>
        </w:rPr>
        <w:t>quyết định chấp thuận điều chỉnh chủ trương đầu tư.</w:t>
      </w:r>
    </w:p>
    <w:p w:rsidR="00960BD3" w:rsidRDefault="00960BD3" w:rsidP="00960BD3">
      <w:pPr>
        <w:widowControl w:val="0"/>
        <w:spacing w:before="60" w:line="360" w:lineRule="exact"/>
        <w:ind w:firstLine="567"/>
        <w:rPr>
          <w:sz w:val="28"/>
          <w:szCs w:val="28"/>
          <w:lang w:val="de-DE"/>
        </w:rPr>
      </w:pPr>
      <w:r>
        <w:rPr>
          <w:b/>
          <w:sz w:val="28"/>
          <w:szCs w:val="28"/>
          <w:lang w:val="de-DE"/>
        </w:rPr>
        <w:t>g) Đối tượng thực hiện thủ tục hành chính</w:t>
      </w:r>
      <w:r>
        <w:rPr>
          <w:sz w:val="28"/>
          <w:szCs w:val="28"/>
          <w:lang w:val="de-DE"/>
        </w:rPr>
        <w:t>:</w:t>
      </w:r>
    </w:p>
    <w:p w:rsidR="00960BD3" w:rsidRDefault="00960BD3" w:rsidP="00960BD3">
      <w:pPr>
        <w:widowControl w:val="0"/>
        <w:spacing w:before="60" w:line="360" w:lineRule="exact"/>
        <w:ind w:firstLine="567"/>
        <w:rPr>
          <w:sz w:val="28"/>
          <w:szCs w:val="28"/>
          <w:lang w:val="de-DE"/>
        </w:rPr>
      </w:pPr>
      <w:r>
        <w:rPr>
          <w:sz w:val="28"/>
          <w:szCs w:val="28"/>
          <w:lang w:val="de-DE"/>
        </w:rPr>
        <w:t>- Nhà đầu tư;</w:t>
      </w:r>
    </w:p>
    <w:p w:rsidR="00960BD3" w:rsidRDefault="00960BD3" w:rsidP="00960BD3">
      <w:pPr>
        <w:widowControl w:val="0"/>
        <w:spacing w:before="60" w:line="360" w:lineRule="exact"/>
        <w:ind w:firstLine="709"/>
        <w:rPr>
          <w:sz w:val="28"/>
          <w:szCs w:val="28"/>
          <w:lang w:val="de-DE"/>
        </w:rPr>
      </w:pPr>
      <w:r>
        <w:rPr>
          <w:b/>
          <w:sz w:val="28"/>
          <w:szCs w:val="28"/>
          <w:lang w:val="de-DE"/>
        </w:rPr>
        <w:t>h) Kết quả thực hiện thủ tục hành chính</w:t>
      </w:r>
      <w:r>
        <w:rPr>
          <w:sz w:val="28"/>
          <w:szCs w:val="28"/>
          <w:lang w:val="de-DE"/>
        </w:rPr>
        <w:t>:</w:t>
      </w:r>
    </w:p>
    <w:p w:rsidR="00960BD3" w:rsidRDefault="00960BD3" w:rsidP="00960BD3">
      <w:pPr>
        <w:spacing w:after="120" w:line="340" w:lineRule="exact"/>
        <w:ind w:firstLine="709"/>
        <w:rPr>
          <w:sz w:val="28"/>
          <w:szCs w:val="28"/>
          <w:lang w:val="sv-SE"/>
        </w:rPr>
      </w:pPr>
      <w:r>
        <w:rPr>
          <w:sz w:val="28"/>
          <w:szCs w:val="28"/>
          <w:lang w:val="sv-SE"/>
        </w:rPr>
        <w:t>Quyết định của Ủy ban nhân dân tỉnh chấp thuận điều chỉnh chủ trương đầu tư theo Mẫu A.II.2 ban hành kèm theo Thông tư số 03/2021/TT-BKHĐT.</w:t>
      </w:r>
    </w:p>
    <w:p w:rsidR="00960BD3" w:rsidRDefault="00960BD3" w:rsidP="00960BD3">
      <w:pPr>
        <w:widowControl w:val="0"/>
        <w:spacing w:before="60" w:line="360" w:lineRule="exact"/>
        <w:ind w:firstLine="709"/>
        <w:rPr>
          <w:sz w:val="28"/>
          <w:szCs w:val="28"/>
          <w:lang w:val="de-DE"/>
        </w:rPr>
      </w:pPr>
      <w:r>
        <w:rPr>
          <w:b/>
          <w:sz w:val="28"/>
          <w:szCs w:val="28"/>
          <w:lang w:val="de-DE"/>
        </w:rPr>
        <w:t>i) Lệ phí</w:t>
      </w:r>
      <w:r>
        <w:rPr>
          <w:sz w:val="28"/>
          <w:szCs w:val="28"/>
          <w:lang w:val="de-DE"/>
        </w:rPr>
        <w:t>: Không</w:t>
      </w:r>
    </w:p>
    <w:p w:rsidR="00960BD3" w:rsidRDefault="00960BD3" w:rsidP="00960BD3">
      <w:pPr>
        <w:widowControl w:val="0"/>
        <w:spacing w:before="60" w:line="360" w:lineRule="exact"/>
        <w:ind w:firstLine="709"/>
        <w:rPr>
          <w:bCs/>
          <w:i/>
          <w:sz w:val="28"/>
          <w:szCs w:val="28"/>
          <w:lang w:val="de-DE"/>
        </w:rPr>
      </w:pPr>
      <w:r>
        <w:rPr>
          <w:b/>
          <w:sz w:val="28"/>
          <w:szCs w:val="28"/>
          <w:lang w:val="de-DE"/>
        </w:rPr>
        <w:t>k) Tên mẫu đơn, mẫu tờ khai:</w:t>
      </w:r>
    </w:p>
    <w:p w:rsidR="00960BD3" w:rsidRDefault="00960BD3" w:rsidP="00960BD3">
      <w:pPr>
        <w:widowControl w:val="0"/>
        <w:spacing w:before="60" w:line="360" w:lineRule="exact"/>
        <w:ind w:firstLine="709"/>
        <w:rPr>
          <w:bCs/>
          <w:sz w:val="28"/>
          <w:szCs w:val="28"/>
          <w:lang w:val="sv-SE"/>
        </w:rPr>
      </w:pPr>
      <w:r>
        <w:rPr>
          <w:bCs/>
          <w:sz w:val="28"/>
          <w:szCs w:val="28"/>
          <w:lang w:val="sv-SE"/>
        </w:rPr>
        <w:t>Văn bản đề nghị điều chỉnh dự án đầu tư theo Mẫu A.I.11.c ban hành kèm theo Thông tư số 03/2021/TT-BKHĐT.</w:t>
      </w:r>
    </w:p>
    <w:p w:rsidR="00960BD3" w:rsidRDefault="00960BD3" w:rsidP="00960BD3">
      <w:pPr>
        <w:widowControl w:val="0"/>
        <w:spacing w:before="60" w:line="360" w:lineRule="exact"/>
        <w:ind w:firstLine="709"/>
        <w:rPr>
          <w:sz w:val="28"/>
          <w:szCs w:val="28"/>
          <w:lang w:val="de-DE"/>
        </w:rPr>
      </w:pPr>
      <w:r>
        <w:rPr>
          <w:b/>
          <w:sz w:val="28"/>
          <w:szCs w:val="28"/>
          <w:lang w:val="de-DE"/>
        </w:rPr>
        <w:t>l)</w:t>
      </w:r>
      <w:r>
        <w:rPr>
          <w:sz w:val="28"/>
          <w:szCs w:val="28"/>
          <w:lang w:val="de-DE"/>
        </w:rPr>
        <w:t xml:space="preserve"> </w:t>
      </w:r>
      <w:r>
        <w:rPr>
          <w:b/>
          <w:sz w:val="28"/>
          <w:szCs w:val="28"/>
          <w:lang w:val="de-DE"/>
        </w:rPr>
        <w:t>Yêu cầu, điều kiện thực hiện thủ tục</w:t>
      </w:r>
      <w:r>
        <w:rPr>
          <w:sz w:val="28"/>
          <w:szCs w:val="28"/>
          <w:lang w:val="de-DE"/>
        </w:rPr>
        <w:t xml:space="preserve">: </w:t>
      </w:r>
    </w:p>
    <w:p w:rsidR="00960BD3" w:rsidRPr="006862DC" w:rsidRDefault="00960BD3" w:rsidP="00960BD3">
      <w:pPr>
        <w:widowControl w:val="0"/>
        <w:spacing w:before="60" w:line="360" w:lineRule="exact"/>
        <w:ind w:firstLine="709"/>
        <w:rPr>
          <w:sz w:val="28"/>
          <w:szCs w:val="28"/>
          <w:lang w:val="de-DE"/>
        </w:rPr>
      </w:pPr>
      <w:r w:rsidRPr="006862DC">
        <w:rPr>
          <w:sz w:val="28"/>
          <w:szCs w:val="28"/>
          <w:lang w:val="de-DE"/>
        </w:rPr>
        <w:t>Dự án đầu tư đã được UBND cấp tỉnh chấp thuận chủ trương đầu tư và việc chuyển nhượng thuộc một trong các trường hợp quy định tại khoản 3 Điều 41 Luật Đầu</w:t>
      </w:r>
      <w:r>
        <w:rPr>
          <w:sz w:val="28"/>
          <w:szCs w:val="28"/>
          <w:lang w:val="de-DE"/>
        </w:rPr>
        <w:t xml:space="preserve"> tư.</w:t>
      </w:r>
    </w:p>
    <w:p w:rsidR="00960BD3" w:rsidRDefault="00960BD3" w:rsidP="00960BD3">
      <w:pPr>
        <w:widowControl w:val="0"/>
        <w:spacing w:before="60" w:line="360" w:lineRule="exact"/>
        <w:ind w:firstLine="709"/>
        <w:rPr>
          <w:sz w:val="28"/>
          <w:szCs w:val="28"/>
          <w:lang w:val="de-DE"/>
        </w:rPr>
      </w:pPr>
      <w:r>
        <w:rPr>
          <w:b/>
          <w:sz w:val="28"/>
          <w:szCs w:val="28"/>
          <w:lang w:val="de-DE"/>
        </w:rPr>
        <w:t>m) Căn cứ pháp lý của thủ tục hành chính</w:t>
      </w:r>
      <w:r>
        <w:rPr>
          <w:sz w:val="28"/>
          <w:szCs w:val="28"/>
          <w:lang w:val="de-DE"/>
        </w:rPr>
        <w:t>:</w:t>
      </w:r>
    </w:p>
    <w:p w:rsidR="00960BD3" w:rsidRDefault="00960BD3" w:rsidP="00960BD3">
      <w:pPr>
        <w:widowControl w:val="0"/>
        <w:spacing w:before="60" w:line="360" w:lineRule="exact"/>
        <w:ind w:firstLine="567"/>
        <w:rPr>
          <w:sz w:val="28"/>
          <w:szCs w:val="28"/>
          <w:lang w:val="vi-VN"/>
        </w:rPr>
      </w:pPr>
      <w:r>
        <w:rPr>
          <w:sz w:val="28"/>
          <w:szCs w:val="28"/>
          <w:lang w:val="vi-VN"/>
        </w:rPr>
        <w:t>- Luật Đầu tư số 6</w:t>
      </w:r>
      <w:r>
        <w:rPr>
          <w:sz w:val="28"/>
          <w:szCs w:val="28"/>
        </w:rPr>
        <w:t>1</w:t>
      </w:r>
      <w:r>
        <w:rPr>
          <w:sz w:val="28"/>
          <w:szCs w:val="28"/>
          <w:lang w:val="vi-VN"/>
        </w:rPr>
        <w:t>/20</w:t>
      </w:r>
      <w:r>
        <w:rPr>
          <w:sz w:val="28"/>
          <w:szCs w:val="28"/>
        </w:rPr>
        <w:t>20</w:t>
      </w:r>
      <w:r>
        <w:rPr>
          <w:sz w:val="28"/>
          <w:szCs w:val="28"/>
          <w:lang w:val="vi-VN"/>
        </w:rPr>
        <w:t>/QH1</w:t>
      </w:r>
      <w:r>
        <w:rPr>
          <w:sz w:val="28"/>
          <w:szCs w:val="28"/>
        </w:rPr>
        <w:t>4</w:t>
      </w:r>
      <w:r>
        <w:rPr>
          <w:sz w:val="28"/>
          <w:szCs w:val="28"/>
          <w:lang w:val="vi-VN"/>
        </w:rPr>
        <w:t xml:space="preserve"> ngày </w:t>
      </w:r>
      <w:r>
        <w:rPr>
          <w:sz w:val="28"/>
          <w:szCs w:val="28"/>
        </w:rPr>
        <w:t>17/6/2020</w:t>
      </w:r>
      <w:r>
        <w:rPr>
          <w:sz w:val="28"/>
          <w:szCs w:val="28"/>
          <w:lang w:val="vi-VN"/>
        </w:rPr>
        <w:t>;</w:t>
      </w:r>
    </w:p>
    <w:p w:rsidR="00960BD3" w:rsidRDefault="00960BD3" w:rsidP="00960BD3">
      <w:pPr>
        <w:widowControl w:val="0"/>
        <w:spacing w:before="60" w:line="360" w:lineRule="exact"/>
        <w:ind w:firstLine="567"/>
        <w:rPr>
          <w:sz w:val="28"/>
          <w:szCs w:val="28"/>
        </w:rPr>
      </w:pPr>
      <w:r>
        <w:rPr>
          <w:sz w:val="28"/>
          <w:szCs w:val="28"/>
          <w:lang w:val="vi-VN"/>
        </w:rPr>
        <w:t xml:space="preserve">- Nghị định số </w:t>
      </w:r>
      <w:r>
        <w:rPr>
          <w:sz w:val="28"/>
          <w:szCs w:val="28"/>
        </w:rPr>
        <w:t>31</w:t>
      </w:r>
      <w:r>
        <w:rPr>
          <w:sz w:val="28"/>
          <w:szCs w:val="28"/>
          <w:lang w:val="vi-VN"/>
        </w:rPr>
        <w:t>/20</w:t>
      </w:r>
      <w:r>
        <w:rPr>
          <w:sz w:val="28"/>
          <w:szCs w:val="28"/>
        </w:rPr>
        <w:t>21</w:t>
      </w:r>
      <w:r>
        <w:rPr>
          <w:sz w:val="28"/>
          <w:szCs w:val="28"/>
          <w:lang w:val="vi-VN"/>
        </w:rPr>
        <w:t xml:space="preserve">/NĐ-CP ngày </w:t>
      </w:r>
      <w:r>
        <w:rPr>
          <w:sz w:val="28"/>
          <w:szCs w:val="28"/>
        </w:rPr>
        <w:t>26/3/2021;</w:t>
      </w:r>
    </w:p>
    <w:p w:rsidR="00663A31" w:rsidRPr="00E83D49" w:rsidRDefault="00960BD3" w:rsidP="00960BD3">
      <w:pPr>
        <w:widowControl w:val="0"/>
        <w:spacing w:before="60" w:line="360" w:lineRule="exact"/>
        <w:ind w:firstLine="567"/>
      </w:pPr>
      <w:r>
        <w:rPr>
          <w:sz w:val="28"/>
          <w:szCs w:val="28"/>
          <w:lang w:val="vi-VN"/>
        </w:rPr>
        <w:t xml:space="preserve">- </w:t>
      </w:r>
      <w:r>
        <w:rPr>
          <w:bCs/>
          <w:sz w:val="28"/>
          <w:szCs w:val="28"/>
          <w:lang w:val="sv-SE"/>
        </w:rPr>
        <w:t>Thông tư số 03/2021/TT-BKHĐT ngày 09/4/2021</w:t>
      </w:r>
      <w:bookmarkStart w:id="0" w:name="_GoBack"/>
      <w:bookmarkEnd w:id="0"/>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67EFD"/>
    <w:rsid w:val="001D5132"/>
    <w:rsid w:val="001F1A0E"/>
    <w:rsid w:val="00232DA7"/>
    <w:rsid w:val="002550F3"/>
    <w:rsid w:val="00256744"/>
    <w:rsid w:val="00262FD3"/>
    <w:rsid w:val="00275DC5"/>
    <w:rsid w:val="002C1D8B"/>
    <w:rsid w:val="002C4A88"/>
    <w:rsid w:val="002F341E"/>
    <w:rsid w:val="00305A91"/>
    <w:rsid w:val="00316245"/>
    <w:rsid w:val="00316562"/>
    <w:rsid w:val="00322E4C"/>
    <w:rsid w:val="003364BA"/>
    <w:rsid w:val="00355D06"/>
    <w:rsid w:val="00382215"/>
    <w:rsid w:val="003A0BE9"/>
    <w:rsid w:val="003C30DD"/>
    <w:rsid w:val="003C6EF0"/>
    <w:rsid w:val="003D27E9"/>
    <w:rsid w:val="003E30CD"/>
    <w:rsid w:val="00440797"/>
    <w:rsid w:val="004456C3"/>
    <w:rsid w:val="00492EF1"/>
    <w:rsid w:val="004A0A65"/>
    <w:rsid w:val="004C26E6"/>
    <w:rsid w:val="004D5A6C"/>
    <w:rsid w:val="00527EC1"/>
    <w:rsid w:val="00541507"/>
    <w:rsid w:val="005469FF"/>
    <w:rsid w:val="005B02CE"/>
    <w:rsid w:val="005B3AE8"/>
    <w:rsid w:val="0060782E"/>
    <w:rsid w:val="00607BFA"/>
    <w:rsid w:val="00663A31"/>
    <w:rsid w:val="006A0E29"/>
    <w:rsid w:val="006C6969"/>
    <w:rsid w:val="006D4506"/>
    <w:rsid w:val="007049E2"/>
    <w:rsid w:val="007125F5"/>
    <w:rsid w:val="0072331C"/>
    <w:rsid w:val="00785E29"/>
    <w:rsid w:val="007C78D9"/>
    <w:rsid w:val="007E51E3"/>
    <w:rsid w:val="00800EDE"/>
    <w:rsid w:val="0080146D"/>
    <w:rsid w:val="0081515A"/>
    <w:rsid w:val="00845101"/>
    <w:rsid w:val="008632DF"/>
    <w:rsid w:val="008A2AB4"/>
    <w:rsid w:val="008B433E"/>
    <w:rsid w:val="008D6834"/>
    <w:rsid w:val="008E5CBE"/>
    <w:rsid w:val="009059CD"/>
    <w:rsid w:val="00915D7D"/>
    <w:rsid w:val="00924176"/>
    <w:rsid w:val="0092559E"/>
    <w:rsid w:val="00960BD3"/>
    <w:rsid w:val="00965090"/>
    <w:rsid w:val="009A2B71"/>
    <w:rsid w:val="009C3A1A"/>
    <w:rsid w:val="009C4C82"/>
    <w:rsid w:val="009F5110"/>
    <w:rsid w:val="009F6DBA"/>
    <w:rsid w:val="00A40CA4"/>
    <w:rsid w:val="00A46F60"/>
    <w:rsid w:val="00A802E4"/>
    <w:rsid w:val="00AC0DCB"/>
    <w:rsid w:val="00AD65D6"/>
    <w:rsid w:val="00B039A7"/>
    <w:rsid w:val="00B624D8"/>
    <w:rsid w:val="00B813BD"/>
    <w:rsid w:val="00BB15CC"/>
    <w:rsid w:val="00BD435A"/>
    <w:rsid w:val="00C03CAC"/>
    <w:rsid w:val="00C23AD2"/>
    <w:rsid w:val="00C76036"/>
    <w:rsid w:val="00CE4453"/>
    <w:rsid w:val="00CE5F9D"/>
    <w:rsid w:val="00D138E0"/>
    <w:rsid w:val="00D56FD4"/>
    <w:rsid w:val="00DB3002"/>
    <w:rsid w:val="00DD3FC2"/>
    <w:rsid w:val="00E02E09"/>
    <w:rsid w:val="00E679E3"/>
    <w:rsid w:val="00E82F89"/>
    <w:rsid w:val="00E83D49"/>
    <w:rsid w:val="00E8550E"/>
    <w:rsid w:val="00EB66C3"/>
    <w:rsid w:val="00EC391A"/>
    <w:rsid w:val="00F23D54"/>
    <w:rsid w:val="00F35BDE"/>
    <w:rsid w:val="00FA3C09"/>
    <w:rsid w:val="00FC2A48"/>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QY5UZ4ZQWDMN-1850682920-340</_dlc_DocId>
    <_dlc_DocIdUrl xmlns="df6cab6d-25a5-4a45-89de-f19c5af208b6">
      <Url>https://stc.dongnai.gov.vn/_layouts/15/DocIdRedir.aspx?ID=QY5UZ4ZQWDMN-1850682920-340</Url>
      <Description>QY5UZ4ZQWDMN-1850682920-340</Description>
    </_dlc_DocIdUrl>
  </documentManagement>
</p:properties>
</file>

<file path=customXml/itemProps1.xml><?xml version="1.0" encoding="utf-8"?>
<ds:datastoreItem xmlns:ds="http://schemas.openxmlformats.org/officeDocument/2006/customXml" ds:itemID="{06E8E93C-ACEC-4D2C-B1EE-213113DE4C61}"/>
</file>

<file path=customXml/itemProps2.xml><?xml version="1.0" encoding="utf-8"?>
<ds:datastoreItem xmlns:ds="http://schemas.openxmlformats.org/officeDocument/2006/customXml" ds:itemID="{6A17A028-50DF-40B5-967C-B78C22D22332}"/>
</file>

<file path=customXml/itemProps3.xml><?xml version="1.0" encoding="utf-8"?>
<ds:datastoreItem xmlns:ds="http://schemas.openxmlformats.org/officeDocument/2006/customXml" ds:itemID="{5F2CD8A3-B5D2-4714-9A31-71D4D87A3E1F}"/>
</file>

<file path=customXml/itemProps4.xml><?xml version="1.0" encoding="utf-8"?>
<ds:datastoreItem xmlns:ds="http://schemas.openxmlformats.org/officeDocument/2006/customXml" ds:itemID="{CD387BD8-1544-40C6-823C-2B933E622C29}"/>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2025-08-20T15:00:00Z</dcterms:created>
  <dcterms:modified xsi:type="dcterms:W3CDTF">2025-08-20T15:01:00Z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16243dbd-262c-44ed-a3fb-6aad48647db6</vt:lpwstr>
  </property>
</Properties>
</file>